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120" w:after="288"/>
        <w:ind w:firstLine="709"/>
        <w:jc w:val="center"/>
        <w:rPr>
          <w:rFonts w:ascii="Arial" w:hAnsi="Arial" w:cs="Arial"/>
          <w:b/>
          <w:i/>
          <w:i/>
          <w:color w:val="FF0000"/>
          <w:sz w:val="20"/>
          <w:szCs w:val="20"/>
        </w:rPr>
      </w:pPr>
      <w:r>
        <w:rPr>
          <w:rFonts w:cs="Arial" w:ascii="Arial" w:hAnsi="Arial"/>
          <w:b/>
          <w:i/>
          <w:color w:val="FF0000"/>
          <w:sz w:val="20"/>
          <w:szCs w:val="20"/>
        </w:rPr>
      </w:r>
    </w:p>
    <w:p>
      <w:pPr>
        <w:pStyle w:val="Normal"/>
        <w:jc w:val="center"/>
        <w:rPr>
          <w:rFonts w:cs="Arial"/>
          <w:szCs w:val="20"/>
        </w:rPr>
      </w:pPr>
      <w:r>
        <w:rPr/>
        <w:drawing>
          <wp:inline distT="0" distB="0" distL="0" distR="0">
            <wp:extent cx="819150" cy="904875"/>
            <wp:effectExtent l="0" t="0" r="0" b="0"/>
            <wp:docPr id="1" name="Imagem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3" descr=""/>
                    <pic:cNvPicPr>
                      <a:picLocks noChangeAspect="1" noChangeArrowheads="1"/>
                    </pic:cNvPicPr>
                  </pic:nvPicPr>
                  <pic:blipFill>
                    <a:blip r:embed="rId2"/>
                    <a:stretch>
                      <a:fillRect/>
                    </a:stretch>
                  </pic:blipFill>
                  <pic:spPr bwMode="auto">
                    <a:xfrm>
                      <a:off x="0" y="0"/>
                      <a:ext cx="819150" cy="904875"/>
                    </a:xfrm>
                    <a:prstGeom prst="rect">
                      <a:avLst/>
                    </a:prstGeom>
                  </pic:spPr>
                </pic:pic>
              </a:graphicData>
            </a:graphic>
          </wp:inline>
        </w:drawing>
      </w:r>
    </w:p>
    <w:p>
      <w:pPr>
        <w:pStyle w:val="Normal"/>
        <w:widowControl w:val="false"/>
        <w:jc w:val="center"/>
        <w:rPr>
          <w:b/>
          <w:color w:val="00000A"/>
          <w:lang w:eastAsia="ar-SA"/>
        </w:rPr>
      </w:pPr>
      <w:r>
        <w:rPr>
          <w:b/>
          <w:color w:val="00000A"/>
          <w:lang w:eastAsia="ar-SA"/>
        </w:rPr>
        <w:t>MINISTÉRIO DA DEFESA</w:t>
      </w:r>
    </w:p>
    <w:p>
      <w:pPr>
        <w:pStyle w:val="Normal"/>
        <w:jc w:val="center"/>
        <w:rPr>
          <w:b/>
          <w:color w:val="00000A"/>
        </w:rPr>
      </w:pPr>
      <w:r>
        <w:rPr>
          <w:b/>
          <w:color w:val="00000A"/>
        </w:rPr>
        <w:t>EXERCITO BRASILEIRO</w:t>
      </w:r>
    </w:p>
    <w:p>
      <w:pPr>
        <w:pStyle w:val="Normal"/>
        <w:jc w:val="center"/>
        <w:rPr>
          <w:b/>
          <w:color w:val="00000A"/>
        </w:rPr>
      </w:pPr>
      <w:r>
        <w:rPr>
          <w:b/>
          <w:color w:val="00000A"/>
        </w:rPr>
        <w:t>COMANDO DA 11ª BRIGADA DE INFANTARIA MECANIZADA</w:t>
      </w:r>
    </w:p>
    <w:p>
      <w:pPr>
        <w:pStyle w:val="Normal"/>
        <w:keepNext w:val="true"/>
        <w:widowControl w:val="false"/>
        <w:numPr>
          <w:ilvl w:val="3"/>
          <w:numId w:val="5"/>
        </w:numPr>
        <w:tabs>
          <w:tab w:val="clear" w:pos="708"/>
          <w:tab w:val="left" w:pos="0" w:leader="none"/>
        </w:tabs>
        <w:suppressAutoHyphens w:val="true"/>
        <w:spacing w:lineRule="auto" w:line="276" w:before="0" w:after="200"/>
        <w:jc w:val="center"/>
        <w:outlineLvl w:val="3"/>
        <w:rPr>
          <w:b/>
          <w:bCs/>
          <w:color w:val="000000"/>
        </w:rPr>
      </w:pPr>
      <w:r>
        <w:rPr>
          <w:b/>
          <w:bCs/>
          <w:color w:val="000000"/>
        </w:rPr>
        <w:t>BRIGADA ANHANGUERA</w:t>
      </w:r>
    </w:p>
    <w:p>
      <w:pPr>
        <w:pStyle w:val="Normal"/>
        <w:jc w:val="center"/>
        <w:rPr>
          <w:rFonts w:cs="Arial"/>
          <w:b/>
          <w:bCs/>
          <w:color w:val="000000"/>
          <w:szCs w:val="20"/>
        </w:rPr>
      </w:pPr>
      <w:r>
        <w:rPr>
          <w:rFonts w:cs="Arial"/>
          <w:b/>
          <w:bCs/>
          <w:color w:val="000000"/>
          <w:szCs w:val="20"/>
        </w:rPr>
        <w:t>TERMO DE REFERÊNCIA</w:t>
      </w:r>
    </w:p>
    <w:p>
      <w:pPr>
        <w:pStyle w:val="Normal"/>
        <w:jc w:val="center"/>
        <w:rPr>
          <w:rFonts w:cs="Arial"/>
          <w:b/>
          <w:bCs/>
          <w:color w:val="000000"/>
          <w:szCs w:val="20"/>
        </w:rPr>
      </w:pPr>
      <w:r>
        <w:rPr>
          <w:rFonts w:cs="Arial"/>
          <w:b/>
          <w:bCs/>
          <w:color w:val="000000"/>
          <w:szCs w:val="20"/>
        </w:rPr>
        <w:t>PREGÃO ELETRÔNICO</w:t>
      </w:r>
    </w:p>
    <w:p>
      <w:pPr>
        <w:pStyle w:val="Normal"/>
        <w:spacing w:lineRule="auto" w:line="312" w:before="120" w:after="288"/>
        <w:ind w:firstLine="709"/>
        <w:jc w:val="center"/>
        <w:rPr>
          <w:rFonts w:ascii="Arial" w:hAnsi="Arial" w:cs="Arial"/>
          <w:bCs/>
          <w:color w:val="000000"/>
          <w:sz w:val="20"/>
          <w:szCs w:val="20"/>
        </w:rPr>
      </w:pPr>
      <w:r>
        <w:rPr>
          <w:rFonts w:cs="Arial" w:ascii="Arial" w:hAnsi="Arial"/>
          <w:color w:val="000000"/>
          <w:sz w:val="20"/>
          <w:szCs w:val="20"/>
        </w:rPr>
        <w:t>(Processo Administrativo n</w:t>
      </w:r>
      <w:r>
        <w:rPr>
          <w:rFonts w:cs="Arial" w:ascii="Arial" w:hAnsi="Arial"/>
          <w:bCs/>
          <w:color w:val="000000"/>
          <w:sz w:val="20"/>
          <w:szCs w:val="20"/>
        </w:rPr>
        <w:t>° 64306.038135/2023-91)</w:t>
      </w:r>
    </w:p>
    <w:p>
      <w:pPr>
        <w:pStyle w:val="Nivel01"/>
        <w:numPr>
          <w:ilvl w:val="0"/>
          <w:numId w:val="1"/>
        </w:numPr>
        <w:ind w:hanging="0" w:left="0"/>
        <w:rPr/>
      </w:pPr>
      <w:r>
        <w:rPr/>
        <w:t xml:space="preserve"> </w:t>
      </w:r>
      <w:r>
        <w:rPr/>
        <w:t>CONDIÇÕES GERAIS DA CONTRATAÇÃO</w:t>
      </w:r>
    </w:p>
    <w:p>
      <w:pPr>
        <w:pStyle w:val="Nivel2"/>
        <w:numPr>
          <w:ilvl w:val="1"/>
          <w:numId w:val="1"/>
        </w:numPr>
        <w:ind w:hanging="0" w:left="0"/>
        <w:rPr>
          <w:b/>
          <w:bCs/>
        </w:rPr>
      </w:pPr>
      <w:r>
        <w:rPr/>
        <w:t>Contratação de Serviço de Controle Externo de Qualidade</w:t>
      </w:r>
      <w:r>
        <w:rPr>
          <w:b/>
          <w:bCs/>
        </w:rPr>
        <w:t>,</w:t>
      </w:r>
      <w:r>
        <w:rPr/>
        <w:t xml:space="preserve"> nos termos da tabela abaixo, conforme condições e exigências estabelecidas neste instrumento.</w:t>
      </w:r>
    </w:p>
    <w:tbl>
      <w:tblPr>
        <w:tblW w:w="8959" w:type="dxa"/>
        <w:jc w:val="left"/>
        <w:tblInd w:w="109" w:type="dxa"/>
        <w:tblLayout w:type="fixed"/>
        <w:tblCellMar>
          <w:top w:w="0" w:type="dxa"/>
          <w:left w:w="108" w:type="dxa"/>
          <w:bottom w:w="0" w:type="dxa"/>
          <w:right w:w="108" w:type="dxa"/>
        </w:tblCellMar>
        <w:tblLook w:firstRow="1" w:noVBand="1" w:lastRow="0" w:firstColumn="1" w:lastColumn="0" w:noHBand="0" w:val="04a0"/>
      </w:tblPr>
      <w:tblGrid>
        <w:gridCol w:w="806"/>
        <w:gridCol w:w="2657"/>
        <w:gridCol w:w="1125"/>
        <w:gridCol w:w="1169"/>
        <w:gridCol w:w="804"/>
        <w:gridCol w:w="2397"/>
      </w:tblGrid>
      <w:tr>
        <w:trPr>
          <w:trHeight w:val="375" w:hRule="atLeast"/>
        </w:trPr>
        <w:tc>
          <w:tcPr>
            <w:tcW w:w="80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bCs/>
                <w:color w:val="000000"/>
                <w:szCs w:val="20"/>
              </w:rPr>
            </w:pPr>
            <w:r>
              <w:rPr>
                <w:rFonts w:cs="Arial"/>
                <w:bCs/>
                <w:color w:val="000000"/>
                <w:szCs w:val="20"/>
              </w:rPr>
              <w:t>ITEM</w:t>
            </w:r>
          </w:p>
        </w:tc>
        <w:tc>
          <w:tcPr>
            <w:tcW w:w="265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before="0" w:after="120"/>
              <w:jc w:val="center"/>
              <w:rPr>
                <w:rFonts w:cs="Arial"/>
                <w:bCs/>
                <w:color w:val="000000"/>
                <w:szCs w:val="20"/>
              </w:rPr>
            </w:pPr>
            <w:r>
              <w:rPr>
                <w:rFonts w:cs="Arial"/>
                <w:bCs/>
                <w:color w:val="000000"/>
                <w:szCs w:val="20"/>
              </w:rPr>
              <w:t>DESCRIÇÃO</w:t>
            </w:r>
          </w:p>
        </w:tc>
        <w:tc>
          <w:tcPr>
            <w:tcW w:w="112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bCs/>
                <w:szCs w:val="20"/>
              </w:rPr>
            </w:pPr>
            <w:r>
              <w:rPr>
                <w:rFonts w:cs="Arial"/>
                <w:bCs/>
                <w:szCs w:val="20"/>
              </w:rPr>
              <w:t>CATSER</w:t>
            </w:r>
          </w:p>
        </w:tc>
        <w:tc>
          <w:tcPr>
            <w:tcW w:w="116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bCs/>
                <w:szCs w:val="20"/>
              </w:rPr>
            </w:pPr>
            <w:r>
              <w:rPr>
                <w:rFonts w:cs="Arial"/>
                <w:bCs/>
                <w:szCs w:val="20"/>
              </w:rPr>
              <w:t>APRES</w:t>
            </w:r>
          </w:p>
        </w:tc>
        <w:tc>
          <w:tcPr>
            <w:tcW w:w="8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bCs/>
                <w:szCs w:val="20"/>
              </w:rPr>
            </w:pPr>
            <w:r>
              <w:rPr>
                <w:rFonts w:cs="Arial"/>
                <w:bCs/>
                <w:szCs w:val="20"/>
              </w:rPr>
              <w:t>QTD</w:t>
            </w:r>
          </w:p>
        </w:tc>
        <w:tc>
          <w:tcPr>
            <w:tcW w:w="239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bCs/>
                <w:szCs w:val="20"/>
              </w:rPr>
            </w:pPr>
            <w:r>
              <w:rPr>
                <w:rFonts w:cs="Arial"/>
                <w:bCs/>
                <w:szCs w:val="20"/>
              </w:rPr>
              <w:t>VALOR MÁXIMO TOTAL ANUAL</w:t>
            </w:r>
          </w:p>
        </w:tc>
      </w:tr>
      <w:tr>
        <w:trPr>
          <w:trHeight w:val="1455" w:hRule="atLeast"/>
        </w:trPr>
        <w:tc>
          <w:tcPr>
            <w:tcW w:w="80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Cs w:val="20"/>
              </w:rPr>
            </w:pPr>
            <w:r>
              <w:rPr>
                <w:rFonts w:cs="Arial"/>
                <w:color w:val="000000"/>
                <w:szCs w:val="20"/>
              </w:rPr>
              <w:t>1</w:t>
            </w:r>
          </w:p>
        </w:tc>
        <w:tc>
          <w:tcPr>
            <w:tcW w:w="26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Cs w:val="20"/>
              </w:rPr>
            </w:pPr>
            <w:r>
              <w:rPr>
                <w:rFonts w:cs="Arial"/>
                <w:color w:val="000000"/>
                <w:szCs w:val="20"/>
              </w:rPr>
              <w:t>Serviço de Controle Externo de Qualidade</w:t>
            </w:r>
          </w:p>
        </w:tc>
        <w:tc>
          <w:tcPr>
            <w:tcW w:w="112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Cs w:val="20"/>
              </w:rPr>
            </w:pPr>
            <w:r>
              <w:rPr>
                <w:rFonts w:cs="Arial"/>
                <w:color w:val="000000"/>
                <w:szCs w:val="20"/>
              </w:rPr>
              <w:t>19127</w:t>
            </w:r>
          </w:p>
        </w:tc>
        <w:tc>
          <w:tcPr>
            <w:tcW w:w="116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Cs w:val="20"/>
              </w:rPr>
            </w:pPr>
            <w:r>
              <w:rPr>
                <w:rFonts w:cs="Arial"/>
                <w:color w:val="000000"/>
                <w:szCs w:val="20"/>
              </w:rPr>
              <w:t>Serviço Anual</w:t>
            </w:r>
          </w:p>
        </w:tc>
        <w:tc>
          <w:tcPr>
            <w:tcW w:w="8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cs="Arial"/>
                <w:color w:val="000000"/>
                <w:szCs w:val="20"/>
              </w:rPr>
            </w:pPr>
            <w:r>
              <w:rPr>
                <w:rFonts w:cs="Arial"/>
                <w:color w:val="000000"/>
                <w:szCs w:val="20"/>
              </w:rPr>
              <w:t>1</w:t>
            </w:r>
          </w:p>
        </w:tc>
        <w:tc>
          <w:tcPr>
            <w:tcW w:w="2397"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Calibri" w:hAnsi="Calibri" w:cs="Arial"/>
                <w:sz w:val="22"/>
                <w:szCs w:val="22"/>
              </w:rPr>
            </w:pPr>
            <w:r>
              <w:rPr>
                <w:rFonts w:cs="Arial" w:ascii="Calibri" w:hAnsi="Calibri"/>
                <w:sz w:val="22"/>
                <w:szCs w:val="22"/>
              </w:rPr>
              <w:t>R$ 22.543,91</w:t>
            </w:r>
          </w:p>
        </w:tc>
      </w:tr>
    </w:tbl>
    <w:p>
      <w:pPr>
        <w:pStyle w:val="Nivel2"/>
        <w:numPr>
          <w:ilvl w:val="0"/>
          <w:numId w:val="0"/>
        </w:numPr>
        <w:ind w:hanging="0" w:left="0"/>
        <w:rPr/>
      </w:pPr>
      <w:r>
        <w:rPr/>
      </w:r>
    </w:p>
    <w:p>
      <w:pPr>
        <w:pStyle w:val="Nivel2"/>
        <w:numPr>
          <w:ilvl w:val="1"/>
          <w:numId w:val="1"/>
        </w:numPr>
        <w:ind w:hanging="0" w:left="0"/>
        <w:rPr/>
      </w:pPr>
      <w:r>
        <w:rPr/>
        <w:t>A natureza do serviço é comum e continuado. O serviço a ser contratado se enquadra na classificação de serviços comuns, nos termos do inciso XIII, art 6º da Lei n° 14.133, de 2021 e do Decreto n° 3.555, de 2000.</w:t>
      </w:r>
    </w:p>
    <w:p>
      <w:pPr>
        <w:pStyle w:val="Nivel2"/>
        <w:numPr>
          <w:ilvl w:val="1"/>
          <w:numId w:val="1"/>
        </w:numPr>
        <w:ind w:hanging="0" w:left="0"/>
        <w:rPr/>
      </w:pPr>
      <w:r>
        <w:rPr/>
        <w:t>Os serviços a serem contratados enquadram-se em atividades materiais acessórias, instrumentais ou complementares à área de competência legal do órgão licitante, não inerentes às categorias funcionais abrangidas por seu respectivo plano de cargos.</w:t>
      </w:r>
    </w:p>
    <w:p>
      <w:pPr>
        <w:pStyle w:val="Nivel2"/>
        <w:numPr>
          <w:ilvl w:val="1"/>
          <w:numId w:val="1"/>
        </w:numPr>
        <w:ind w:hanging="0" w:left="0"/>
        <w:rPr/>
      </w:pPr>
      <w:r>
        <w:rPr/>
        <w:t>A prestação dos serviços não gera vínculo empregatício entre os empregados da Contratada e a Administração, vedando-se qualquer relação entre estes que caracterize pessoalidade e subordinação direta.</w:t>
      </w:r>
    </w:p>
    <w:p>
      <w:pPr>
        <w:pStyle w:val="Nvel2-Red"/>
        <w:numPr>
          <w:ilvl w:val="1"/>
          <w:numId w:val="1"/>
        </w:numPr>
        <w:ind w:hanging="0" w:left="0"/>
        <w:rPr/>
      </w:pPr>
      <w:r>
        <w:rPr/>
        <w:t>O prazo de vigência da contratação é de 5 (cinco) anos contados da assinatura do contrato prorrogável por até 10 anos, na forma dos artigos 106 e 107 da Lei n° 14.133, de 2021.</w:t>
      </w:r>
    </w:p>
    <w:p>
      <w:pPr>
        <w:pStyle w:val="Nivel2"/>
        <w:numPr>
          <w:ilvl w:val="1"/>
          <w:numId w:val="1"/>
        </w:numPr>
        <w:ind w:hanging="0" w:left="0"/>
        <w:rPr/>
      </w:pPr>
      <w:r>
        <w:rPr/>
        <w:t>O contrato oferece maior detalhamento das regras que serão aplicadas em relação à vigência da contratação.</w:t>
      </w:r>
    </w:p>
    <w:p>
      <w:pPr>
        <w:pStyle w:val="Nivel01"/>
        <w:numPr>
          <w:ilvl w:val="0"/>
          <w:numId w:val="1"/>
        </w:numPr>
        <w:ind w:hanging="0" w:left="0"/>
        <w:rPr/>
      </w:pPr>
      <w:r>
        <w:rPr/>
        <w:t>FUNDAMENTAÇÃO E DESCRIÇÃO DA NECESSIDADE DA CONTRATAÇÃO</w:t>
      </w:r>
    </w:p>
    <w:p>
      <w:pPr>
        <w:pStyle w:val="Nivel2"/>
        <w:numPr>
          <w:ilvl w:val="1"/>
          <w:numId w:val="1"/>
        </w:numPr>
        <w:ind w:hanging="0" w:left="0"/>
        <w:rPr/>
      </w:pPr>
      <w:r>
        <w:rPr/>
        <w:t>A Fundamentação da Contratação e de seus quantitativos encontra-se pormenorizada em tópico específico dos Estudos Técnicos Preliminares, apêndice deste Termo de Referência.</w:t>
      </w:r>
    </w:p>
    <w:p>
      <w:pPr>
        <w:pStyle w:val="Nivel2"/>
        <w:numPr>
          <w:ilvl w:val="1"/>
          <w:numId w:val="1"/>
        </w:numPr>
        <w:ind w:hanging="0" w:left="0"/>
        <w:rPr/>
      </w:pPr>
      <w:r>
        <w:rPr/>
        <w:t>O objeto da contratação está previsto no Plano de Contratações Anual 2023, conforme detalhamento a seguir:</w:t>
      </w:r>
    </w:p>
    <w:p>
      <w:pPr>
        <w:pStyle w:val="Nivel3"/>
        <w:numPr>
          <w:ilvl w:val="0"/>
          <w:numId w:val="3"/>
        </w:numPr>
        <w:ind w:hanging="0" w:left="284"/>
        <w:rPr/>
      </w:pPr>
      <w:r>
        <w:rPr/>
        <w:t>ID PCA no PNCP: 00394452000103-0-000345/2023;</w:t>
      </w:r>
    </w:p>
    <w:p>
      <w:pPr>
        <w:pStyle w:val="Nivel3"/>
        <w:numPr>
          <w:ilvl w:val="0"/>
          <w:numId w:val="3"/>
        </w:numPr>
        <w:ind w:hanging="0" w:left="284"/>
        <w:rPr/>
      </w:pPr>
      <w:r>
        <w:rPr/>
        <w:t>Data de publicação no PNCP: 20 MAIO 2023;</w:t>
      </w:r>
    </w:p>
    <w:p>
      <w:pPr>
        <w:pStyle w:val="Nivel3"/>
        <w:numPr>
          <w:ilvl w:val="0"/>
          <w:numId w:val="3"/>
        </w:numPr>
        <w:ind w:hanging="0" w:left="284"/>
        <w:rPr/>
      </w:pPr>
      <w:r>
        <w:rPr/>
        <w:t>Id do item no PCA: 69;</w:t>
      </w:r>
    </w:p>
    <w:p>
      <w:pPr>
        <w:pStyle w:val="Nivel3"/>
        <w:numPr>
          <w:ilvl w:val="0"/>
          <w:numId w:val="3"/>
        </w:numPr>
        <w:ind w:hanging="0" w:left="284"/>
        <w:rPr/>
      </w:pPr>
      <w:r>
        <w:rPr/>
        <w:t xml:space="preserve">Classe/Grupo: </w:t>
      </w:r>
      <w:r>
        <w:rPr>
          <w:rStyle w:val="Ng-star-inserted"/>
        </w:rPr>
        <w:t>931 - SERVIÇOS DE SAÚDE HUMANA</w:t>
      </w:r>
      <w:r>
        <w:rPr/>
        <w:t>;</w:t>
      </w:r>
    </w:p>
    <w:p>
      <w:pPr>
        <w:pStyle w:val="Nivel3"/>
        <w:numPr>
          <w:ilvl w:val="0"/>
          <w:numId w:val="3"/>
        </w:numPr>
        <w:ind w:hanging="0" w:left="284"/>
        <w:rPr/>
      </w:pPr>
      <w:r>
        <w:rPr/>
        <w:t>Identificador da Futura Contratação:</w:t>
      </w:r>
      <w:r>
        <w:rPr>
          <w:rStyle w:val="Ng-star-inserted"/>
        </w:rPr>
        <w:t>160466-90005/2022.</w:t>
      </w:r>
    </w:p>
    <w:p>
      <w:pPr>
        <w:pStyle w:val="Nivel01"/>
        <w:numPr>
          <w:ilvl w:val="0"/>
          <w:numId w:val="1"/>
        </w:numPr>
        <w:ind w:hanging="0" w:left="0"/>
        <w:rPr/>
      </w:pPr>
      <w:r>
        <w:rPr/>
        <w:t>DESCRIÇÃO DA SOLUÇÃO COMO UM TODO CONSIDERADO O CICLO DE VIDA DO OBJETO</w:t>
      </w:r>
    </w:p>
    <w:p>
      <w:pPr>
        <w:pStyle w:val="Nvel2-Red"/>
        <w:numPr>
          <w:ilvl w:val="1"/>
          <w:numId w:val="1"/>
        </w:numPr>
        <w:ind w:hanging="0" w:left="0"/>
        <w:rPr/>
      </w:pPr>
      <w:bookmarkStart w:id="0" w:name="_Ref121236534"/>
      <w:r>
        <w:rPr/>
        <w:t>A descrição da solução como um todo está pormenorizada em tópico específico dos Estudos Técnicos Preliminares, apêndice deste Termo de Referência.</w:t>
      </w:r>
      <w:bookmarkEnd w:id="0"/>
    </w:p>
    <w:p>
      <w:pPr>
        <w:pStyle w:val="Nivel01"/>
        <w:numPr>
          <w:ilvl w:val="0"/>
          <w:numId w:val="1"/>
        </w:numPr>
        <w:ind w:hanging="0" w:left="0"/>
        <w:rPr/>
      </w:pPr>
      <w:r>
        <w:rPr/>
        <w:t>REQUISITOS DA CONTRATAÇÃO</w:t>
      </w:r>
    </w:p>
    <w:p>
      <w:pPr>
        <w:pStyle w:val="Nvel01-SemNumerao"/>
        <w:rPr/>
      </w:pPr>
      <w:r>
        <w:rPr/>
        <w:t>Subcontratação</w:t>
      </w:r>
    </w:p>
    <w:p>
      <w:pPr>
        <w:pStyle w:val="Nvel2-Red"/>
        <w:numPr>
          <w:ilvl w:val="1"/>
          <w:numId w:val="1"/>
        </w:numPr>
        <w:ind w:hanging="0" w:left="0"/>
        <w:rPr/>
      </w:pPr>
      <w:r>
        <w:rPr/>
        <w:t>Não é admitida a subcontratação do objeto contratual.</w:t>
      </w:r>
    </w:p>
    <w:p>
      <w:pPr>
        <w:pStyle w:val="Nvel01-SemNumerao"/>
        <w:rPr/>
      </w:pPr>
      <w:r>
        <w:rPr/>
        <w:t>Garantia da contratação</w:t>
      </w:r>
    </w:p>
    <w:p>
      <w:pPr>
        <w:pStyle w:val="Nvel2-Red"/>
        <w:numPr>
          <w:ilvl w:val="1"/>
          <w:numId w:val="1"/>
        </w:numPr>
        <w:ind w:hanging="0" w:left="0"/>
        <w:rPr/>
      </w:pPr>
      <w:r>
        <w:rPr/>
        <w:t xml:space="preserve">Não haverá exigência da garantia da contratação dos </w:t>
      </w:r>
      <w:r>
        <w:fldChar w:fldCharType="begin"/>
      </w:r>
      <w:r>
        <w:rPr/>
        <w:instrText xml:space="preserve"> HYPERLINK "http://www.planalto.gov.br/ccivil_03/_ato2019-2022/2021/lei/L14133.htm" \l "art96"</w:instrText>
      </w:r>
      <w:r>
        <w:rPr/>
        <w:fldChar w:fldCharType="separate"/>
      </w:r>
      <w:r>
        <w:rPr/>
        <w:t>artigos 96 e seguintes da Lei nº 14.133, de 2021</w:t>
      </w:r>
      <w:r>
        <w:rPr/>
        <w:fldChar w:fldCharType="end"/>
      </w:r>
      <w:r>
        <w:rPr/>
        <w:t>, pelas razões constantes do Estudo Técnico Preliminar.</w:t>
      </w:r>
    </w:p>
    <w:p>
      <w:pPr>
        <w:pStyle w:val="Nvel01-SemNumerao"/>
        <w:rPr/>
      </w:pPr>
      <w:r>
        <w:rPr/>
        <w:t>Vistoria</w:t>
      </w:r>
    </w:p>
    <w:p>
      <w:pPr>
        <w:pStyle w:val="Nvel2-Red"/>
        <w:numPr>
          <w:ilvl w:val="1"/>
          <w:numId w:val="1"/>
        </w:numPr>
        <w:ind w:hanging="0" w:left="0"/>
        <w:rPr/>
      </w:pPr>
      <w:r>
        <w:rPr/>
        <w:t>Não há necessidade de realização de avaliação prévia do local de execução dos serviços.</w:t>
      </w:r>
    </w:p>
    <w:p>
      <w:pPr>
        <w:pStyle w:val="Nivel01"/>
        <w:numPr>
          <w:ilvl w:val="0"/>
          <w:numId w:val="1"/>
        </w:numPr>
        <w:ind w:hanging="0" w:left="0"/>
        <w:rPr/>
      </w:pPr>
      <w:r>
        <w:rPr/>
        <w:t>MODELO DE EXECUÇÃO DO OBJETO</w:t>
      </w:r>
    </w:p>
    <w:p>
      <w:pPr>
        <w:pStyle w:val="Nvel01-SemNumerao"/>
        <w:rPr/>
      </w:pPr>
      <w:r>
        <w:rPr/>
        <w:t>Condições de execução</w:t>
      </w:r>
    </w:p>
    <w:p>
      <w:pPr>
        <w:pStyle w:val="Nvel2-Red"/>
        <w:numPr>
          <w:ilvl w:val="1"/>
          <w:numId w:val="1"/>
        </w:numPr>
        <w:ind w:hanging="0" w:left="0"/>
        <w:rPr/>
      </w:pPr>
      <w:r>
        <w:rPr/>
        <w:t>A execução do objeto seguirá a seguinte dinâmica:</w:t>
      </w:r>
    </w:p>
    <w:p>
      <w:pPr>
        <w:pStyle w:val="Nvel3-R"/>
        <w:numPr>
          <w:ilvl w:val="2"/>
          <w:numId w:val="1"/>
        </w:numPr>
        <w:ind w:hanging="0" w:left="284"/>
        <w:rPr>
          <w:strike/>
        </w:rPr>
      </w:pPr>
      <w:r>
        <w:rPr/>
        <w:t>Início da execução do objeto: 5 (cinco) dias da assinatura do contrato.</w:t>
      </w:r>
    </w:p>
    <w:p>
      <w:pPr>
        <w:pStyle w:val="Nvel3-R"/>
        <w:numPr>
          <w:ilvl w:val="2"/>
          <w:numId w:val="1"/>
        </w:numPr>
        <w:ind w:hanging="0" w:left="284"/>
        <w:rPr>
          <w:strike/>
        </w:rPr>
      </w:pPr>
      <w:r>
        <w:rPr>
          <w:bCs/>
        </w:rPr>
        <w:t xml:space="preserve">A contratada deverá enviar amostras padronizadas mensalmente com o objetivo de mensurar o </w:t>
      </w:r>
      <w:r>
        <w:rPr/>
        <w:t>desempenho de sistemas analíticos através de ensaios de proficiência, análise de padrões certificados e comparações interlaboratoriais, para que seja assegurada a confiabilidade dos serviços laboratoriais prestados, e assim, garantindo a qualidade dos mesmos.</w:t>
      </w:r>
    </w:p>
    <w:p>
      <w:pPr>
        <w:pStyle w:val="Nivel3"/>
        <w:numPr>
          <w:ilvl w:val="2"/>
          <w:numId w:val="1"/>
        </w:numPr>
        <w:ind w:hanging="0" w:left="284"/>
        <w:rPr/>
      </w:pPr>
      <w:r>
        <w:rPr/>
        <w:t>As amostras para análise deverão ser enviadas até o dia 20 de cada mês para o endereço Av Soldado Passarinho, s/n – Posto Médico de Guarnição de Campinas, Bairro Fazenda Chapadão, Campinas/SP – CEP 13070-115, de segunda a sexta-feira, das 08:00 às 12:00 e os resultados serão remetidos até a data limite fixada pela contratada, para avaliação e análise dos dados no mês subseqüente.</w:t>
      </w:r>
    </w:p>
    <w:p>
      <w:pPr>
        <w:pStyle w:val="Nivel3"/>
        <w:numPr>
          <w:ilvl w:val="2"/>
          <w:numId w:val="1"/>
        </w:numPr>
        <w:ind w:hanging="0" w:left="284"/>
        <w:rPr>
          <w:bCs/>
        </w:rPr>
      </w:pPr>
      <w:r>
        <w:rPr>
          <w:bCs/>
        </w:rPr>
        <w:t>A</w:t>
      </w:r>
      <w:r>
        <w:rPr/>
        <w:t xml:space="preserve"> contratação do serviço de controle externo de qualidade deverá abranger o desempenho nas seguintes áreas:</w:t>
      </w:r>
    </w:p>
    <w:p>
      <w:pPr>
        <w:pStyle w:val="Nivel4"/>
        <w:numPr>
          <w:ilvl w:val="3"/>
          <w:numId w:val="1"/>
        </w:numPr>
        <w:ind w:hanging="283" w:left="1134"/>
        <w:rPr>
          <w:bCs/>
        </w:rPr>
      </w:pPr>
      <w:r>
        <w:rPr>
          <w:b/>
        </w:rPr>
        <w:t>Bioquímica</w:t>
      </w:r>
      <w:r>
        <w:rPr/>
        <w:t xml:space="preserve"> - Ácido Úrico, Albumina, Amilase, Bilirrubina Total e Direta, Cálcio Total, CK, Colesterol Total, Colesterol HDL, Creatinina, Ferro, Fosfatase Alcalina, Fósforo, Gama GT, Glicose, LDH, Lipase, Magnésio, Potássio, Proteínas Totais, Sódio, TGO / AST, TGP / ALT, TIBC (livre e total), Transferrina, Triglicerídeos e Uréia.</w:t>
      </w:r>
    </w:p>
    <w:p>
      <w:pPr>
        <w:pStyle w:val="Nivel4"/>
        <w:numPr>
          <w:ilvl w:val="3"/>
          <w:numId w:val="1"/>
        </w:numPr>
        <w:ind w:hanging="283" w:left="1134"/>
        <w:rPr>
          <w:bCs/>
        </w:rPr>
      </w:pPr>
      <w:r>
        <w:rPr>
          <w:b/>
        </w:rPr>
        <w:t xml:space="preserve">Coagulação - </w:t>
      </w:r>
      <w:r>
        <w:rPr/>
        <w:t>Tempo de Protrombina (TP) e Tempo de Tromboplastina Parcial (PTTa).</w:t>
      </w:r>
    </w:p>
    <w:p>
      <w:pPr>
        <w:pStyle w:val="Nivel4"/>
        <w:numPr>
          <w:ilvl w:val="3"/>
          <w:numId w:val="1"/>
        </w:numPr>
        <w:ind w:hanging="283" w:left="1134"/>
        <w:rPr>
          <w:bCs/>
        </w:rPr>
      </w:pPr>
      <w:r>
        <w:rPr>
          <w:b/>
        </w:rPr>
        <w:t xml:space="preserve">Hematologia -  </w:t>
      </w:r>
      <w:r>
        <w:rPr/>
        <w:t>Hematoscopia e Hematologia automação.</w:t>
      </w:r>
    </w:p>
    <w:p>
      <w:pPr>
        <w:pStyle w:val="Nivel4"/>
        <w:numPr>
          <w:ilvl w:val="3"/>
          <w:numId w:val="1"/>
        </w:numPr>
        <w:ind w:hanging="283" w:left="1134"/>
        <w:rPr>
          <w:bCs/>
        </w:rPr>
      </w:pPr>
      <w:r>
        <w:rPr>
          <w:b/>
        </w:rPr>
        <w:t xml:space="preserve">Hemoparasitologia  - </w:t>
      </w:r>
      <w:r>
        <w:rPr/>
        <w:t>Microscopia</w:t>
      </w:r>
    </w:p>
    <w:p>
      <w:pPr>
        <w:pStyle w:val="Nivel4"/>
        <w:numPr>
          <w:ilvl w:val="3"/>
          <w:numId w:val="1"/>
        </w:numPr>
        <w:ind w:hanging="283" w:left="1134"/>
        <w:rPr>
          <w:bCs/>
        </w:rPr>
      </w:pPr>
      <w:r>
        <w:rPr>
          <w:b/>
        </w:rPr>
        <w:t>Imunohematologia  -</w:t>
      </w:r>
      <w:r>
        <w:rPr/>
        <w:t xml:space="preserve"> Sistema ABO e Sistema Rhesus.</w:t>
      </w:r>
    </w:p>
    <w:p>
      <w:pPr>
        <w:pStyle w:val="Nivel4"/>
        <w:numPr>
          <w:ilvl w:val="3"/>
          <w:numId w:val="1"/>
        </w:numPr>
        <w:ind w:hanging="283" w:left="1134"/>
        <w:rPr>
          <w:bCs/>
        </w:rPr>
      </w:pPr>
      <w:r>
        <w:rPr>
          <w:b/>
        </w:rPr>
        <w:t xml:space="preserve">Imunologia - </w:t>
      </w:r>
      <w:r>
        <w:rPr/>
        <w:t>Antiestreptolisina O, Fator Reumatóide, Proteína C Reativa, CMV (IgC e IgM), Rubéola (IgG e IgM) e Toxoplasmose (IgG e IgM).</w:t>
      </w:r>
    </w:p>
    <w:p>
      <w:pPr>
        <w:pStyle w:val="Nivel4"/>
        <w:numPr>
          <w:ilvl w:val="3"/>
          <w:numId w:val="1"/>
        </w:numPr>
        <w:ind w:hanging="283" w:left="1134"/>
        <w:rPr>
          <w:bCs/>
        </w:rPr>
      </w:pPr>
      <w:r>
        <w:rPr>
          <w:b/>
        </w:rPr>
        <w:t xml:space="preserve">Parasitologia - </w:t>
      </w:r>
      <w:r>
        <w:rPr/>
        <w:t>Identificação de parasitos, Pesquisa de sangue Oculto e Pesquisa de Rotavírus.</w:t>
      </w:r>
    </w:p>
    <w:p>
      <w:pPr>
        <w:pStyle w:val="Nivel4"/>
        <w:numPr>
          <w:ilvl w:val="3"/>
          <w:numId w:val="1"/>
        </w:numPr>
        <w:ind w:hanging="283" w:left="1134"/>
        <w:rPr>
          <w:bCs/>
        </w:rPr>
      </w:pPr>
      <w:r>
        <w:rPr>
          <w:b/>
        </w:rPr>
        <w:t>Sorologia -</w:t>
      </w:r>
      <w:r>
        <w:rPr/>
        <w:t xml:space="preserve">  Anti-HIV, Anti-HCV, Anti-HBsAg, Anti-HBc, HBsAg e Sífilis.</w:t>
      </w:r>
    </w:p>
    <w:p>
      <w:pPr>
        <w:pStyle w:val="Nivel4"/>
        <w:numPr>
          <w:ilvl w:val="3"/>
          <w:numId w:val="1"/>
        </w:numPr>
        <w:ind w:hanging="283" w:left="1134"/>
        <w:rPr>
          <w:bCs/>
        </w:rPr>
      </w:pPr>
      <w:r>
        <w:rPr>
          <w:b/>
        </w:rPr>
        <w:t xml:space="preserve">Uroanálise – EAS - </w:t>
      </w:r>
      <w:r>
        <w:rPr/>
        <w:t>Bilirrubina, Corpos Cetônicos, Densidade, Glicose, Hemoglobina hemolisada, Nitrito, pH, Proteínas, Urobilinogênio, sedimento (quantitativo e qualitativo).</w:t>
      </w:r>
    </w:p>
    <w:p>
      <w:pPr>
        <w:pStyle w:val="Nivel4"/>
        <w:numPr>
          <w:ilvl w:val="3"/>
          <w:numId w:val="1"/>
        </w:numPr>
        <w:ind w:hanging="283" w:left="1134"/>
        <w:rPr>
          <w:bCs/>
        </w:rPr>
      </w:pPr>
      <w:r>
        <w:rPr>
          <w:b/>
        </w:rPr>
        <w:t xml:space="preserve">Uroanálise (Dosagem) -  </w:t>
      </w:r>
      <w:r>
        <w:rPr/>
        <w:t>Ácido Úrico, Amilase, Cálcio Total, Cloretos, Creatinina, Fósforo, Glicose, Magnésio, Potássio, Proteínas Totais e Uréia.</w:t>
      </w:r>
    </w:p>
    <w:p>
      <w:pPr>
        <w:pStyle w:val="Nivel4"/>
        <w:numPr>
          <w:ilvl w:val="3"/>
          <w:numId w:val="1"/>
        </w:numPr>
        <w:ind w:hanging="283" w:left="1134"/>
        <w:rPr>
          <w:bCs/>
        </w:rPr>
      </w:pPr>
      <w:r>
        <w:rPr>
          <w:b/>
          <w:bCs/>
        </w:rPr>
        <w:t>Hormônios:</w:t>
      </w:r>
      <w:r>
        <w:rPr/>
        <w:t xml:space="preserve"> T3 Livre, T3 total, TSH, T4 Livre, T4 Total, Testosterona Total e Testosterona Livre.</w:t>
      </w:r>
    </w:p>
    <w:p>
      <w:pPr>
        <w:pStyle w:val="Nivel4"/>
        <w:numPr>
          <w:ilvl w:val="3"/>
          <w:numId w:val="1"/>
        </w:numPr>
        <w:ind w:hanging="283" w:left="1134"/>
        <w:rPr>
          <w:bCs/>
        </w:rPr>
      </w:pPr>
      <w:r>
        <w:rPr>
          <w:b/>
        </w:rPr>
        <w:t>Marcadores Tumorais:</w:t>
      </w:r>
      <w:r>
        <w:rPr/>
        <w:t xml:space="preserve"> PSA Total e PSA Livre.</w:t>
      </w:r>
    </w:p>
    <w:p>
      <w:pPr>
        <w:pStyle w:val="Nivel4"/>
        <w:numPr>
          <w:ilvl w:val="3"/>
          <w:numId w:val="1"/>
        </w:numPr>
        <w:ind w:hanging="283" w:left="1134"/>
        <w:rPr>
          <w:bCs/>
        </w:rPr>
      </w:pPr>
      <w:r>
        <w:rPr>
          <w:b/>
        </w:rPr>
        <w:t>Vitamina D.</w:t>
      </w:r>
    </w:p>
    <w:p>
      <w:pPr>
        <w:pStyle w:val="Nivel4"/>
        <w:numPr>
          <w:ilvl w:val="3"/>
          <w:numId w:val="1"/>
        </w:numPr>
        <w:ind w:hanging="283" w:left="1134"/>
        <w:rPr>
          <w:bCs/>
        </w:rPr>
      </w:pPr>
      <w:r>
        <w:rPr>
          <w:b/>
        </w:rPr>
        <w:t>Educação Continuada.</w:t>
      </w:r>
    </w:p>
    <w:p>
      <w:pPr>
        <w:pStyle w:val="Nvel01-SemNumerao"/>
        <w:rPr/>
      </w:pPr>
      <w:r>
        <w:rPr/>
        <w:t>Local e horário da prestação dos serviços</w:t>
      </w:r>
    </w:p>
    <w:p>
      <w:pPr>
        <w:pStyle w:val="Nvel2-Red"/>
        <w:numPr>
          <w:ilvl w:val="1"/>
          <w:numId w:val="1"/>
        </w:numPr>
        <w:ind w:hanging="0" w:left="0"/>
        <w:rPr/>
      </w:pPr>
      <w:r>
        <w:rPr/>
        <w:t>Os serviços serão prestados no seguinte endereço Av Soldado Passarinho, s/n – Posto Médico de Guarnição de Campinas, Bairro Fazenda Chapadão, Campinas/SP – CEP 13070-115.</w:t>
      </w:r>
    </w:p>
    <w:p>
      <w:pPr>
        <w:pStyle w:val="Nivel2"/>
        <w:numPr>
          <w:ilvl w:val="1"/>
          <w:numId w:val="1"/>
        </w:numPr>
        <w:ind w:hanging="0" w:left="0"/>
        <w:rPr/>
      </w:pPr>
      <w:r>
        <w:rPr/>
        <w:t xml:space="preserve">Os serviços serão prestados no seguinte horário: </w:t>
      </w:r>
      <w:r>
        <w:rPr>
          <w:iCs/>
          <w:color w:val="auto"/>
        </w:rPr>
        <w:t>de segunda a sexta-feira, das 08:00 às 12:00.</w:t>
      </w:r>
    </w:p>
    <w:p>
      <w:pPr>
        <w:pStyle w:val="Nvel2-Red"/>
        <w:numPr>
          <w:ilvl w:val="1"/>
          <w:numId w:val="1"/>
        </w:numPr>
        <w:ind w:hanging="0" w:left="0"/>
        <w:rPr>
          <w:rFonts w:eastAsia="MS Mincho"/>
        </w:rPr>
      </w:pPr>
      <w:r>
        <w:rPr/>
        <w:t>A execução contratual observará as rotinas estabelecidas nos Estudos Técnicos Preliminares – ETP.</w:t>
      </w:r>
    </w:p>
    <w:p>
      <w:pPr>
        <w:pStyle w:val="Nvel01-SemNumerao"/>
        <w:rPr/>
      </w:pPr>
      <w:r>
        <w:rPr/>
        <w:t>Materiais a serem disponibilizados</w:t>
      </w:r>
    </w:p>
    <w:p>
      <w:pPr>
        <w:pStyle w:val="Nivel2"/>
        <w:numPr>
          <w:ilvl w:val="1"/>
          <w:numId w:val="1"/>
        </w:numPr>
        <w:ind w:hanging="0" w:left="0"/>
        <w:rPr>
          <w:bCs/>
        </w:rPr>
      </w:pPr>
      <w:r>
        <w:rPr/>
        <w:t>Todos os materiais necessários ao perfeito funcionamento do serviço coberto por este contrato ficarão inteiramente por conta da contratada, sem ônus algum para o Cmdo da 11ª Bda Inf Mec.</w:t>
      </w:r>
    </w:p>
    <w:p>
      <w:pPr>
        <w:pStyle w:val="Nvel01-SemNumerao"/>
        <w:rPr/>
      </w:pPr>
      <w:r>
        <w:rPr/>
        <w:t>Informações relevantes para o dimensionamento da proposta</w:t>
      </w:r>
    </w:p>
    <w:p>
      <w:pPr>
        <w:pStyle w:val="Nivel2"/>
        <w:numPr>
          <w:ilvl w:val="1"/>
          <w:numId w:val="1"/>
        </w:numPr>
        <w:ind w:hanging="0" w:left="0"/>
        <w:rPr/>
      </w:pPr>
      <w:r>
        <w:rPr/>
        <w:t>A demanda do órgão gerenciador e dos participantes tem como base as seguintes características:</w:t>
      </w:r>
    </w:p>
    <w:p>
      <w:pPr>
        <w:pStyle w:val="Nivel3"/>
        <w:numPr>
          <w:ilvl w:val="2"/>
          <w:numId w:val="1"/>
        </w:numPr>
        <w:ind w:hanging="0" w:left="284"/>
        <w:rPr>
          <w:bCs/>
        </w:rPr>
      </w:pPr>
      <w:r>
        <w:rPr/>
        <w:t>A contratada deverá enviar um kit de cada método de análise, ou área, contendo preferencialmente amostras liofilizadas, para cada método ou área de análise.</w:t>
      </w:r>
    </w:p>
    <w:p>
      <w:pPr>
        <w:pStyle w:val="Nivel3"/>
        <w:numPr>
          <w:ilvl w:val="2"/>
          <w:numId w:val="1"/>
        </w:numPr>
        <w:ind w:hanging="0" w:left="284"/>
        <w:rPr>
          <w:bCs/>
        </w:rPr>
      </w:pPr>
      <w:r>
        <w:rPr/>
        <w:t>Cada kit deverá vir com frequência mensal para análise.</w:t>
      </w:r>
    </w:p>
    <w:p>
      <w:pPr>
        <w:pStyle w:val="Nivel3"/>
        <w:numPr>
          <w:ilvl w:val="2"/>
          <w:numId w:val="1"/>
        </w:numPr>
        <w:ind w:hanging="0" w:left="284"/>
        <w:rPr>
          <w:bCs/>
        </w:rPr>
      </w:pPr>
      <w:r>
        <w:rPr/>
        <w:t>Todos os materiais empregados na execução dos serviços deverão estar em conformidade com as normas técnicas vigentes da ABNT, bem como devem ser acondicionadas de maneira a garantir a integridade das amostras.</w:t>
      </w:r>
    </w:p>
    <w:p>
      <w:pPr>
        <w:pStyle w:val="Nvel01-SemNumerao"/>
        <w:rPr>
          <w:rFonts w:eastAsia="Calibri"/>
        </w:rPr>
      </w:pPr>
      <w:r>
        <w:rPr/>
        <w:t>Especificação da garantia do serviço (</w:t>
      </w:r>
      <w:r>
        <w:fldChar w:fldCharType="begin"/>
      </w:r>
      <w:r>
        <w:rPr>
          <w:rStyle w:val="Hyperlink"/>
        </w:rPr>
        <w:instrText xml:space="preserve"> HYPERLINK "http://www.planalto.gov.br/ccivil_03/_ato2019-2022/2021/lei/L14133.htm" \l "art40§1"</w:instrText>
      </w:r>
      <w:r>
        <w:rPr>
          <w:rStyle w:val="Hyperlink"/>
        </w:rPr>
        <w:fldChar w:fldCharType="separate"/>
      </w:r>
      <w:r>
        <w:rPr>
          <w:rStyle w:val="Hyperlink"/>
        </w:rPr>
        <w:t>art. 40, §1º, inciso III, da Lei nº 14.133, de 2021</w:t>
      </w:r>
      <w:r>
        <w:rPr>
          <w:rStyle w:val="Hyperlink"/>
        </w:rPr>
        <w:fldChar w:fldCharType="end"/>
      </w:r>
      <w:r>
        <w:rPr/>
        <w:t>)</w:t>
      </w:r>
    </w:p>
    <w:p>
      <w:pPr>
        <w:pStyle w:val="Nvel2-Red"/>
        <w:numPr>
          <w:ilvl w:val="1"/>
          <w:numId w:val="1"/>
        </w:numPr>
        <w:ind w:hanging="0" w:left="0"/>
        <w:rPr/>
      </w:pPr>
      <w:r>
        <w:rPr/>
        <w:t xml:space="preserve">O prazo de garantia contratual dos serviços é aquele estabelecido </w:t>
      </w:r>
      <w:hyperlink r:id="rId3">
        <w:r>
          <w:rPr>
            <w:rStyle w:val="Hyperlink"/>
          </w:rPr>
          <w:t>na Lei nº 8.078, de 11 de setembro de 1990</w:t>
        </w:r>
      </w:hyperlink>
      <w:r>
        <w:rPr/>
        <w:t xml:space="preserve"> (Código de Defesa do Consumidor).</w:t>
      </w:r>
    </w:p>
    <w:p>
      <w:pPr>
        <w:pStyle w:val="Nvel2-Red"/>
        <w:numPr>
          <w:ilvl w:val="1"/>
          <w:numId w:val="4"/>
        </w:numPr>
        <w:rPr/>
      </w:pPr>
      <w:r>
        <w:rPr/>
        <w:t>Não serão necessários procedimentos de transição e finalização do contrato devido às características do objeto.</w:t>
      </w:r>
    </w:p>
    <w:p>
      <w:pPr>
        <w:pStyle w:val="Nivel01"/>
        <w:numPr>
          <w:ilvl w:val="0"/>
          <w:numId w:val="1"/>
        </w:numPr>
        <w:ind w:hanging="0" w:left="0"/>
        <w:rPr/>
      </w:pPr>
      <w:r>
        <w:rPr/>
        <w:t>MODELO DE GESTÃO DO CONTRATO</w:t>
      </w:r>
    </w:p>
    <w:p>
      <w:pPr>
        <w:pStyle w:val="Nivel2"/>
        <w:numPr>
          <w:ilvl w:val="1"/>
          <w:numId w:val="1"/>
        </w:numPr>
        <w:ind w:hanging="0" w:left="0"/>
        <w:rPr/>
      </w:pPr>
      <w:r>
        <w:rPr/>
        <w:t>O contrato deverá ser executado fielmente pelas partes, de acordo com as cláusulas avençadas e as normas da Lei nº 14.133, de 2021, e cada parte responderá pelas consequências de sua inexecução total ou parcial.</w:t>
      </w:r>
    </w:p>
    <w:p>
      <w:pPr>
        <w:pStyle w:val="Nivel2"/>
        <w:numPr>
          <w:ilvl w:val="1"/>
          <w:numId w:val="1"/>
        </w:numPr>
        <w:ind w:hanging="0" w:left="0"/>
        <w:rPr/>
      </w:pPr>
      <w:r>
        <w:rPr/>
        <w:t>Em caso de impedimento, ordem de paralisação ou suspensão do contrato, o cronograma de execução será prorrogado automaticamente pelo tempo correspondente, anotadas tais circunstâncias mediante simples apostila.</w:t>
      </w:r>
    </w:p>
    <w:p>
      <w:pPr>
        <w:pStyle w:val="Nivel2"/>
        <w:numPr>
          <w:ilvl w:val="1"/>
          <w:numId w:val="1"/>
        </w:numPr>
        <w:ind w:hanging="0" w:left="0"/>
        <w:rPr/>
      </w:pPr>
      <w:r>
        <w:rPr/>
        <w:t>As comunicações entre o órgão ou entidade e a contratada devem ser realizadas por escrito sempre que o ato exigir tal formalidade, admitindo-se o uso de mensagem eletrônica para esse fim.</w:t>
      </w:r>
    </w:p>
    <w:p>
      <w:pPr>
        <w:pStyle w:val="Nivel2"/>
        <w:numPr>
          <w:ilvl w:val="1"/>
          <w:numId w:val="1"/>
        </w:numPr>
        <w:ind w:hanging="0" w:left="0"/>
        <w:rPr/>
      </w:pPr>
      <w:r>
        <w:rPr/>
        <w:t>O órgão ou entidade poderá convocar representante da empresa para adoção de providências que devam ser cumpridas de imediato.</w:t>
      </w:r>
    </w:p>
    <w:p>
      <w:pPr>
        <w:pStyle w:val="Nvel2-Red"/>
        <w:numPr>
          <w:ilvl w:val="1"/>
          <w:numId w:val="1"/>
        </w:numPr>
        <w:ind w:hanging="0" w:left="0"/>
        <w:rPr/>
      </w:pPr>
      <w:r>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Nvel01-SemNumerao"/>
        <w:rPr/>
      </w:pPr>
      <w:r>
        <w:rPr/>
        <w:t>Fiscalização</w:t>
      </w:r>
    </w:p>
    <w:p>
      <w:pPr>
        <w:pStyle w:val="Nivel2"/>
        <w:numPr>
          <w:ilvl w:val="1"/>
          <w:numId w:val="1"/>
        </w:numPr>
        <w:ind w:hanging="0" w:left="0"/>
        <w:rPr/>
      </w:pPr>
      <w:r>
        <w:rPr/>
        <w:t>A execução do contrato deverá ser acompanhada e fiscalizada pelo(s) fiscal(is) do contrato, ou pelos respectivos substitutos (Lei nº 14.133, de 2021, art. 117, caput).</w:t>
      </w:r>
    </w:p>
    <w:p>
      <w:pPr>
        <w:pStyle w:val="Nvel01-SemNumerao"/>
        <w:rPr/>
      </w:pPr>
      <w:r>
        <w:rPr/>
        <w:t>Fiscalização Técnica</w:t>
      </w:r>
    </w:p>
    <w:p>
      <w:pPr>
        <w:pStyle w:val="Nivel2"/>
        <w:numPr>
          <w:ilvl w:val="1"/>
          <w:numId w:val="1"/>
        </w:numPr>
        <w:ind w:hanging="0" w:left="0"/>
        <w:rPr/>
      </w:pPr>
      <w:r>
        <w:rPr/>
        <w:t>O fiscal técnico do contrato acompanhará a execução do contrato, para que sejam cumpridas todas as condições estabelecidas no contrato, de modo a assegurar os melhores resultados para a Administração. (Decreto nº 11.246, de 2022, art. 22, VI);</w:t>
      </w:r>
    </w:p>
    <w:p>
      <w:pPr>
        <w:pStyle w:val="Nivel2"/>
        <w:numPr>
          <w:ilvl w:val="1"/>
          <w:numId w:val="1"/>
        </w:numPr>
        <w:ind w:hanging="0" w:left="0"/>
        <w:rPr/>
      </w:pPr>
      <w:r>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pPr>
        <w:pStyle w:val="Nivel2"/>
        <w:numPr>
          <w:ilvl w:val="1"/>
          <w:numId w:val="1"/>
        </w:numPr>
        <w:ind w:hanging="0" w:left="0"/>
        <w:rPr/>
      </w:pPr>
      <w:r>
        <w:rPr/>
        <w:t xml:space="preserve">Identificada qualquer inexatidão ou irregularidade, o fiscal técnico do contrato emitirá notificações para a correção da execução do contrato, determinando prazo para a correção. (Decreto nº 11.246, de 2022, art. 22, III); </w:t>
      </w:r>
    </w:p>
    <w:p>
      <w:pPr>
        <w:pStyle w:val="Nivel2"/>
        <w:numPr>
          <w:ilvl w:val="1"/>
          <w:numId w:val="1"/>
        </w:numPr>
        <w:ind w:hanging="0" w:left="0"/>
        <w:rPr>
          <w:color w:val="auto"/>
        </w:rPr>
      </w:pPr>
      <w:r>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r>
        <w:rPr>
          <w:color w:val="auto"/>
        </w:rPr>
        <w:t>);</w:t>
      </w:r>
    </w:p>
    <w:p>
      <w:pPr>
        <w:pStyle w:val="Nivel2"/>
        <w:numPr>
          <w:ilvl w:val="1"/>
          <w:numId w:val="1"/>
        </w:numPr>
        <w:ind w:hanging="0" w:left="0"/>
        <w:rPr>
          <w:rFonts w:eastAsia="Times New Roman"/>
          <w:color w:val="auto"/>
        </w:rPr>
      </w:pPr>
      <w:r>
        <w:rPr/>
        <w:t>No caso de ocorrências que possam inviabilizar a execução do contrato nas datas aprazadas, o fiscal técnico do contrato comunicará o fato imediatamente ao gestor do contrato. (Decreto nº 11.246, de 2022, art. 22, V</w:t>
      </w:r>
      <w:r>
        <w:rPr>
          <w:rFonts w:eastAsia="Times New Roman"/>
          <w:color w:val="auto"/>
        </w:rPr>
        <w:t>);</w:t>
      </w:r>
    </w:p>
    <w:p>
      <w:pPr>
        <w:pStyle w:val="Nivel2"/>
        <w:numPr>
          <w:ilvl w:val="1"/>
          <w:numId w:val="1"/>
        </w:numPr>
        <w:ind w:hanging="0" w:left="0"/>
        <w:rPr/>
      </w:pPr>
      <w:r>
        <w:rPr/>
        <w:t xml:space="preserve">O fiscal técnico do contrato comunicará ao gestor do contrato, em tempo hábil, o término do contrato sob sua responsabilidade, com vistas à tempestiva </w:t>
      </w:r>
      <w:r>
        <w:rPr>
          <w:rFonts w:eastAsia="Times New Roman"/>
          <w:color w:val="auto"/>
        </w:rPr>
        <w:t xml:space="preserve">renovação </w:t>
      </w:r>
      <w:r>
        <w:rPr/>
        <w:t>ou à prorrogação contratual (</w:t>
      </w:r>
      <w:r>
        <w:fldChar w:fldCharType="begin"/>
      </w:r>
      <w:r>
        <w:rPr>
          <w:rStyle w:val="Hyperlink"/>
        </w:rPr>
        <w:instrText xml:space="preserve"> HYPERLINK "http://www.planalto.gov.br/ccivil_03/_ato2019-2022/2022/decreto/D11246.htm" \l "art22"</w:instrText>
      </w:r>
      <w:r>
        <w:rPr>
          <w:rStyle w:val="Hyperlink"/>
        </w:rPr>
        <w:fldChar w:fldCharType="separate"/>
      </w:r>
      <w:r>
        <w:rPr>
          <w:rStyle w:val="Hyperlink"/>
        </w:rPr>
        <w:t>Decreto nº 11.246, de 2022, art. 22, VII</w:t>
      </w:r>
      <w:r>
        <w:rPr>
          <w:rStyle w:val="Hyperlink"/>
        </w:rPr>
        <w:fldChar w:fldCharType="end"/>
      </w:r>
      <w:r>
        <w:rPr/>
        <w:t>).</w:t>
      </w:r>
    </w:p>
    <w:p>
      <w:pPr>
        <w:pStyle w:val="Nvel01-SemNumerao"/>
        <w:rPr/>
      </w:pPr>
      <w:r>
        <w:rPr/>
        <w:t>Fiscalização Administrativa</w:t>
      </w:r>
    </w:p>
    <w:p>
      <w:pPr>
        <w:pStyle w:val="Nivel2"/>
        <w:numPr>
          <w:ilvl w:val="1"/>
          <w:numId w:val="1"/>
        </w:numPr>
        <w:ind w:hanging="0" w:left="0"/>
        <w:rPr>
          <w:color w:val="auto"/>
        </w:rPr>
      </w:pPr>
      <w:r>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pPr>
        <w:pStyle w:val="Nivel2"/>
        <w:numPr>
          <w:ilvl w:val="1"/>
          <w:numId w:val="1"/>
        </w:numPr>
        <w:ind w:hanging="0" w:left="0"/>
        <w:rPr>
          <w:color w:val="auto"/>
        </w:rPr>
      </w:pPr>
      <w:r>
        <w:rPr/>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pPr>
        <w:pStyle w:val="Nvel01-SemNumerao"/>
        <w:rPr>
          <w:i/>
          <w:i/>
        </w:rPr>
      </w:pPr>
      <w:r>
        <w:rPr/>
        <w:t>Gestor do Contrato</w:t>
      </w:r>
    </w:p>
    <w:p>
      <w:pPr>
        <w:pStyle w:val="Nivel2"/>
        <w:numPr>
          <w:ilvl w:val="1"/>
          <w:numId w:val="1"/>
        </w:numPr>
        <w:ind w:hanging="0" w:left="0"/>
        <w:rPr/>
      </w:pPr>
      <w:r>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pPr>
        <w:pStyle w:val="Nivel2"/>
        <w:numPr>
          <w:ilvl w:val="1"/>
          <w:numId w:val="1"/>
        </w:numPr>
        <w:ind w:hanging="0" w:left="0"/>
        <w:rPr/>
      </w:pPr>
      <w:r>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pPr>
        <w:pStyle w:val="Nivel2"/>
        <w:numPr>
          <w:ilvl w:val="1"/>
          <w:numId w:val="1"/>
        </w:numPr>
        <w:ind w:hanging="0" w:left="0"/>
        <w:rPr/>
      </w:pPr>
      <w:r>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pPr>
        <w:pStyle w:val="Nivel2"/>
        <w:numPr>
          <w:ilvl w:val="1"/>
          <w:numId w:val="1"/>
        </w:numPr>
        <w:ind w:hanging="0" w:left="0"/>
        <w:rPr/>
      </w:pPr>
      <w:r>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pPr>
        <w:pStyle w:val="Nivel2"/>
        <w:numPr>
          <w:ilvl w:val="1"/>
          <w:numId w:val="1"/>
        </w:numPr>
        <w:ind w:hanging="0" w:left="0"/>
        <w:rPr/>
      </w:pPr>
      <w:r>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pPr>
        <w:pStyle w:val="Nivel2"/>
        <w:numPr>
          <w:ilvl w:val="1"/>
          <w:numId w:val="1"/>
        </w:numPr>
        <w:ind w:hanging="0" w:left="0"/>
        <w:rPr/>
      </w:pPr>
      <w:r>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pPr>
        <w:pStyle w:val="Nivel2"/>
        <w:numPr>
          <w:ilvl w:val="1"/>
          <w:numId w:val="1"/>
        </w:numPr>
        <w:ind w:hanging="0" w:left="0"/>
        <w:rPr/>
      </w:pPr>
      <w:r>
        <w:rPr/>
        <w:t>O gestor do contrato deverá enviar a documentação pertinente ao setor de contratos para a formalização dos procedimentos de liquidação e pagamento, no valor dimensionado pela fiscalização e gestão nos termos do contrato.</w:t>
      </w:r>
    </w:p>
    <w:p>
      <w:pPr>
        <w:pStyle w:val="Nivel01"/>
        <w:numPr>
          <w:ilvl w:val="0"/>
          <w:numId w:val="1"/>
        </w:numPr>
        <w:ind w:hanging="0" w:left="0"/>
        <w:rPr/>
      </w:pPr>
      <w:r>
        <w:rPr/>
        <w:t>CRITÉRIOS DE MEDIÇÃO E PAGAMENTO</w:t>
      </w:r>
    </w:p>
    <w:p>
      <w:pPr>
        <w:pStyle w:val="Nivel2"/>
        <w:numPr>
          <w:ilvl w:val="1"/>
          <w:numId w:val="1"/>
        </w:numPr>
        <w:ind w:hanging="0" w:left="0"/>
        <w:rPr>
          <w:b/>
        </w:rPr>
      </w:pPr>
      <w:r>
        <w:rPr/>
        <w:t>Após a remessa do relatório mensal das análises, ou liberação do mesmo no site, a contratada deverá remeter os documentos abaixo relacionados, em formato digital, para que o fiscal de contrato designado possa efetuar o pagamento:</w:t>
      </w:r>
    </w:p>
    <w:tbl>
      <w:tblPr>
        <w:tblW w:w="6100" w:type="dxa"/>
        <w:jc w:val="center"/>
        <w:tblInd w:w="0" w:type="dxa"/>
        <w:tblLayout w:type="fixed"/>
        <w:tblCellMar>
          <w:top w:w="0" w:type="dxa"/>
          <w:left w:w="108" w:type="dxa"/>
          <w:bottom w:w="0" w:type="dxa"/>
          <w:right w:w="108" w:type="dxa"/>
        </w:tblCellMar>
        <w:tblLook w:firstRow="1" w:noVBand="0" w:lastRow="0" w:firstColumn="1" w:lastColumn="0" w:noHBand="0" w:val="00a0"/>
      </w:tblPr>
      <w:tblGrid>
        <w:gridCol w:w="494"/>
        <w:gridCol w:w="5605"/>
      </w:tblGrid>
      <w:tr>
        <w:trPr>
          <w:trHeight w:val="305" w:hRule="atLeast"/>
        </w:trPr>
        <w:tc>
          <w:tcPr>
            <w:tcW w:w="494"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3261" w:leader="none"/>
              </w:tabs>
              <w:spacing w:lineRule="auto" w:line="276" w:before="20" w:after="20"/>
              <w:rPr/>
            </w:pPr>
            <w:r>
              <w:rPr/>
              <w:t>1</w:t>
            </w:r>
          </w:p>
        </w:tc>
        <w:tc>
          <w:tcPr>
            <w:tcW w:w="5605"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3261" w:leader="none"/>
              </w:tabs>
              <w:spacing w:lineRule="auto" w:line="276" w:before="20" w:after="20"/>
              <w:jc w:val="both"/>
              <w:rPr/>
            </w:pPr>
            <w:r>
              <w:rPr/>
              <w:t>SOLICITAÇÃO DE PAGAMENTO</w:t>
            </w:r>
          </w:p>
        </w:tc>
      </w:tr>
      <w:tr>
        <w:trPr>
          <w:trHeight w:val="316" w:hRule="atLeast"/>
        </w:trPr>
        <w:tc>
          <w:tcPr>
            <w:tcW w:w="494"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3261" w:leader="none"/>
              </w:tabs>
              <w:spacing w:lineRule="auto" w:line="276" w:before="20" w:after="20"/>
              <w:jc w:val="both"/>
              <w:rPr/>
            </w:pPr>
            <w:r>
              <w:rPr/>
              <w:t>2</w:t>
            </w:r>
          </w:p>
        </w:tc>
        <w:tc>
          <w:tcPr>
            <w:tcW w:w="5605"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3261" w:leader="none"/>
              </w:tabs>
              <w:spacing w:lineRule="auto" w:line="276" w:before="20" w:after="20"/>
              <w:jc w:val="both"/>
              <w:rPr/>
            </w:pPr>
            <w:r>
              <w:rPr/>
              <w:t>NOTA DE EMPENHO</w:t>
            </w:r>
          </w:p>
        </w:tc>
      </w:tr>
      <w:tr>
        <w:trPr>
          <w:trHeight w:val="305" w:hRule="atLeast"/>
        </w:trPr>
        <w:tc>
          <w:tcPr>
            <w:tcW w:w="494"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3261" w:leader="none"/>
              </w:tabs>
              <w:spacing w:lineRule="auto" w:line="276" w:before="20" w:after="20"/>
              <w:jc w:val="both"/>
              <w:rPr/>
            </w:pPr>
            <w:r>
              <w:rPr/>
              <w:t>3</w:t>
            </w:r>
          </w:p>
        </w:tc>
        <w:tc>
          <w:tcPr>
            <w:tcW w:w="5605"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3261" w:leader="none"/>
              </w:tabs>
              <w:spacing w:lineRule="auto" w:line="276" w:before="20" w:after="20"/>
              <w:jc w:val="both"/>
              <w:rPr/>
            </w:pPr>
            <w:r>
              <w:rPr/>
              <w:t>NOTA FISCAL</w:t>
            </w:r>
          </w:p>
        </w:tc>
      </w:tr>
      <w:tr>
        <w:trPr>
          <w:trHeight w:val="316" w:hRule="atLeast"/>
        </w:trPr>
        <w:tc>
          <w:tcPr>
            <w:tcW w:w="494"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3261" w:leader="none"/>
              </w:tabs>
              <w:spacing w:lineRule="auto" w:line="276" w:before="20" w:after="20"/>
              <w:jc w:val="both"/>
              <w:rPr/>
            </w:pPr>
            <w:r>
              <w:rPr/>
              <w:t>4</w:t>
            </w:r>
          </w:p>
        </w:tc>
        <w:tc>
          <w:tcPr>
            <w:tcW w:w="5605"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3261" w:leader="none"/>
              </w:tabs>
              <w:spacing w:lineRule="auto" w:line="276" w:before="20" w:after="20"/>
              <w:jc w:val="both"/>
              <w:rPr/>
            </w:pPr>
            <w:r>
              <w:rPr/>
              <w:t>SICAF- COMPRASNET</w:t>
            </w:r>
          </w:p>
        </w:tc>
      </w:tr>
      <w:tr>
        <w:trPr>
          <w:trHeight w:val="316" w:hRule="atLeast"/>
        </w:trPr>
        <w:tc>
          <w:tcPr>
            <w:tcW w:w="494"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3261" w:leader="none"/>
              </w:tabs>
              <w:spacing w:lineRule="auto" w:line="276" w:before="20" w:after="20"/>
              <w:jc w:val="both"/>
              <w:rPr/>
            </w:pPr>
            <w:r>
              <w:rPr/>
              <w:t>5</w:t>
            </w:r>
          </w:p>
        </w:tc>
        <w:tc>
          <w:tcPr>
            <w:tcW w:w="5605"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3261" w:leader="none"/>
              </w:tabs>
              <w:spacing w:lineRule="auto" w:line="276" w:before="20" w:after="20"/>
              <w:jc w:val="both"/>
              <w:rPr/>
            </w:pPr>
            <w:r>
              <w:rPr/>
              <w:t>DECLARAÇÃO DA EMPRESA DE OPTANTE DO SIMPLES (SE COUBER)</w:t>
            </w:r>
          </w:p>
        </w:tc>
      </w:tr>
      <w:tr>
        <w:trPr>
          <w:trHeight w:val="316" w:hRule="atLeast"/>
        </w:trPr>
        <w:tc>
          <w:tcPr>
            <w:tcW w:w="494"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3261" w:leader="none"/>
              </w:tabs>
              <w:spacing w:lineRule="auto" w:line="276" w:before="20" w:after="20"/>
              <w:jc w:val="both"/>
              <w:rPr/>
            </w:pPr>
            <w:r>
              <w:rPr/>
              <w:t>6</w:t>
            </w:r>
          </w:p>
        </w:tc>
        <w:tc>
          <w:tcPr>
            <w:tcW w:w="5605"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3261" w:leader="none"/>
              </w:tabs>
              <w:spacing w:lineRule="auto" w:line="276" w:before="20" w:after="20"/>
              <w:jc w:val="both"/>
              <w:rPr/>
            </w:pPr>
            <w:r>
              <w:rPr/>
              <w:t>CERTIDÃO NEGATIVA DE DÉBITOS TRABALHISTAS</w:t>
            </w:r>
          </w:p>
        </w:tc>
      </w:tr>
      <w:tr>
        <w:trPr>
          <w:trHeight w:val="305" w:hRule="atLeast"/>
        </w:trPr>
        <w:tc>
          <w:tcPr>
            <w:tcW w:w="494"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3261" w:leader="none"/>
              </w:tabs>
              <w:spacing w:lineRule="auto" w:line="276" w:before="20" w:after="20"/>
              <w:jc w:val="both"/>
              <w:rPr/>
            </w:pPr>
            <w:r>
              <w:rPr/>
              <w:t>7</w:t>
            </w:r>
          </w:p>
        </w:tc>
        <w:tc>
          <w:tcPr>
            <w:tcW w:w="5605"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3261" w:leader="none"/>
              </w:tabs>
              <w:spacing w:lineRule="auto" w:line="276" w:before="20" w:after="20"/>
              <w:jc w:val="both"/>
              <w:rPr/>
            </w:pPr>
            <w:r>
              <w:rPr/>
              <w:t>GPS (INSS)</w:t>
            </w:r>
          </w:p>
        </w:tc>
      </w:tr>
      <w:tr>
        <w:trPr>
          <w:trHeight w:val="316" w:hRule="atLeast"/>
        </w:trPr>
        <w:tc>
          <w:tcPr>
            <w:tcW w:w="494"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3261" w:leader="none"/>
              </w:tabs>
              <w:spacing w:lineRule="auto" w:line="276" w:before="20" w:after="20"/>
              <w:jc w:val="both"/>
              <w:rPr/>
            </w:pPr>
            <w:r>
              <w:rPr/>
              <w:t>8</w:t>
            </w:r>
          </w:p>
        </w:tc>
        <w:tc>
          <w:tcPr>
            <w:tcW w:w="5605"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3261" w:leader="none"/>
              </w:tabs>
              <w:spacing w:lineRule="auto" w:line="276" w:before="20" w:after="20"/>
              <w:jc w:val="both"/>
              <w:rPr/>
            </w:pPr>
            <w:r>
              <w:rPr/>
              <w:t>GRF (FGTS)</w:t>
            </w:r>
          </w:p>
        </w:tc>
      </w:tr>
    </w:tbl>
    <w:p>
      <w:pPr>
        <w:pStyle w:val="Nivel2"/>
        <w:numPr>
          <w:ilvl w:val="0"/>
          <w:numId w:val="0"/>
        </w:numPr>
        <w:ind w:hanging="0" w:left="0"/>
        <w:rPr/>
      </w:pPr>
      <w:r>
        <w:rPr/>
      </w:r>
    </w:p>
    <w:p>
      <w:pPr>
        <w:pStyle w:val="Nivel3"/>
        <w:numPr>
          <w:ilvl w:val="2"/>
          <w:numId w:val="1"/>
        </w:numPr>
        <w:ind w:hanging="0" w:left="284"/>
        <w:rPr>
          <w:color w:val="00B050"/>
        </w:rPr>
      </w:pPr>
      <w:r>
        <w:rPr/>
        <w:t>Será indicada a retenção ou glosa no pagamento, proporcional à irregularidade verificada, sem prejuízo das sanções cabíveis, caso se constate que a Contratada:</w:t>
      </w:r>
    </w:p>
    <w:p>
      <w:pPr>
        <w:pStyle w:val="Nivel4"/>
        <w:numPr>
          <w:ilvl w:val="3"/>
          <w:numId w:val="1"/>
        </w:numPr>
        <w:ind w:hanging="0" w:left="284"/>
        <w:rPr/>
      </w:pPr>
      <w:r>
        <w:rPr/>
        <w:t>não produzir os resultados acordados,</w:t>
      </w:r>
    </w:p>
    <w:p>
      <w:pPr>
        <w:pStyle w:val="Nivel4"/>
        <w:numPr>
          <w:ilvl w:val="3"/>
          <w:numId w:val="1"/>
        </w:numPr>
        <w:ind w:hanging="0" w:left="284"/>
        <w:rPr/>
      </w:pPr>
      <w:r>
        <w:rPr/>
        <w:t>deixar de executar, ou não executar com a qualidade mínima exigida as atividades contratadas; ou</w:t>
      </w:r>
    </w:p>
    <w:p>
      <w:pPr>
        <w:pStyle w:val="Nivel4"/>
        <w:numPr>
          <w:ilvl w:val="3"/>
          <w:numId w:val="1"/>
        </w:numPr>
        <w:ind w:hanging="0" w:left="284"/>
        <w:rPr/>
      </w:pPr>
      <w:r>
        <w:rPr/>
        <w:t>deixar de utilizar materiais e recursos humanos exigidos para a execução do serviço, ou utilizá-los com qualidade ou quantidade inferior à demandada.</w:t>
      </w:r>
    </w:p>
    <w:p>
      <w:pPr>
        <w:pStyle w:val="Nvel2-Red"/>
        <w:numPr>
          <w:ilvl w:val="1"/>
          <w:numId w:val="1"/>
        </w:numPr>
        <w:ind w:hanging="0" w:left="0"/>
        <w:rPr/>
      </w:pPr>
      <w:r>
        <w:rPr/>
        <w:t>A utilização deste critério não impede a aplicação concomitante de outros mecanismos para a avaliação da prestação dos serviços.</w:t>
      </w:r>
    </w:p>
    <w:p>
      <w:pPr>
        <w:pStyle w:val="Nvel01-SemNumerao"/>
        <w:rPr>
          <w:lang w:eastAsia="en-US"/>
        </w:rPr>
      </w:pPr>
      <w:r>
        <w:rPr>
          <w:lang w:eastAsia="en-US"/>
        </w:rPr>
        <w:t>Do recebimento</w:t>
      </w:r>
    </w:p>
    <w:p>
      <w:pPr>
        <w:pStyle w:val="Nivel2"/>
        <w:numPr>
          <w:ilvl w:val="1"/>
          <w:numId w:val="1"/>
        </w:numPr>
        <w:ind w:hanging="0" w:left="0"/>
        <w:rPr>
          <w:lang w:eastAsia="en-US"/>
        </w:rPr>
      </w:pPr>
      <w:r>
        <w:rPr>
          <w:lang w:eastAsia="en-US"/>
        </w:rPr>
        <w:t xml:space="preserve">Os serviços serão recebidos provisoriamente, no prazo de até </w:t>
      </w:r>
      <w:r>
        <w:rPr>
          <w:color w:val="auto"/>
          <w:lang w:eastAsia="en-US"/>
        </w:rPr>
        <w:t>30</w:t>
      </w:r>
      <w:r>
        <w:rPr>
          <w:lang w:eastAsia="en-US"/>
        </w:rPr>
        <w:t xml:space="preserve"> (trinta) dias, pelos fiscais técnico e administrativo, mediante termos detalhados, quando verificado o cumprimento das exigências de caráter técnico e administrativo.</w:t>
      </w:r>
      <w:r>
        <w:rPr>
          <w:color w:val="auto"/>
          <w:lang w:eastAsia="en-US"/>
        </w:rPr>
        <w:t xml:space="preserve"> (</w:t>
      </w:r>
      <w:r>
        <w:fldChar w:fldCharType="begin"/>
      </w:r>
      <w:r>
        <w:rPr>
          <w:color w:val="auto"/>
          <w:lang w:eastAsia="en-US"/>
        </w:rPr>
        <w:instrText xml:space="preserve"> HYPERLINK "http://www.planalto.gov.br/ccivil_03/_ato2019-2022/2021/lei/L14133.htm" \l "art140"</w:instrText>
      </w:r>
      <w:r>
        <w:rPr>
          <w:color w:val="auto"/>
          <w:lang w:eastAsia="en-US"/>
        </w:rPr>
        <w:fldChar w:fldCharType="separate"/>
      </w:r>
      <w:r>
        <w:rPr>
          <w:color w:val="auto"/>
          <w:lang w:eastAsia="en-US"/>
        </w:rPr>
        <w:t>Art. 140, I, a , da Lei nº 14.133</w:t>
      </w:r>
      <w:r>
        <w:rPr>
          <w:color w:val="auto"/>
          <w:lang w:eastAsia="en-US"/>
        </w:rPr>
        <w:fldChar w:fldCharType="end"/>
      </w:r>
      <w:r>
        <w:rPr>
          <w:color w:val="auto"/>
          <w:lang w:eastAsia="en-US"/>
        </w:rPr>
        <w:t xml:space="preserve">, de 2021 e </w:t>
      </w:r>
      <w:r>
        <w:fldChar w:fldCharType="begin"/>
      </w:r>
      <w:r>
        <w:rPr>
          <w:rStyle w:val="Hyperlink"/>
          <w:color w:val="auto"/>
          <w:lang w:eastAsia="en-US"/>
        </w:rPr>
        <w:instrText xml:space="preserve"> HYPERLINK "http://www.planalto.gov.br/ccivil_03/_ato2019-2022/2022/decreto/D11246.htm" \l "art22"</w:instrText>
      </w:r>
      <w:r>
        <w:rPr>
          <w:rStyle w:val="Hyperlink"/>
          <w:color w:val="auto"/>
          <w:lang w:eastAsia="en-US"/>
        </w:rPr>
        <w:fldChar w:fldCharType="separate"/>
      </w:r>
      <w:r>
        <w:rPr>
          <w:rStyle w:val="Hyperlink"/>
          <w:color w:val="auto"/>
          <w:lang w:eastAsia="en-US"/>
        </w:rPr>
        <w:t>Arts. 22, X e 23, X do Decreto nº 11.246, de 2022</w:t>
      </w:r>
      <w:r>
        <w:rPr>
          <w:rStyle w:val="Hyperlink"/>
          <w:color w:val="auto"/>
          <w:lang w:eastAsia="en-US"/>
        </w:rPr>
        <w:fldChar w:fldCharType="end"/>
      </w:r>
      <w:r>
        <w:rPr>
          <w:color w:val="auto"/>
          <w:lang w:eastAsia="en-US"/>
        </w:rPr>
        <w:t>).</w:t>
      </w:r>
    </w:p>
    <w:p>
      <w:pPr>
        <w:pStyle w:val="Nivel2"/>
        <w:numPr>
          <w:ilvl w:val="1"/>
          <w:numId w:val="1"/>
        </w:numPr>
        <w:ind w:hanging="0" w:left="0"/>
        <w:rPr>
          <w:lang w:eastAsia="en-US"/>
        </w:rPr>
      </w:pPr>
      <w:r>
        <w:rPr>
          <w:lang w:eastAsia="en-US"/>
        </w:rPr>
        <w:t>O prazo da disposição acima será contado do recebimento de comunicação de cobrança oriunda do contratado com a comprovação da prestação dos serviços a que se referem a parcela a ser paga.</w:t>
      </w:r>
    </w:p>
    <w:p>
      <w:pPr>
        <w:pStyle w:val="Nivel2"/>
        <w:numPr>
          <w:ilvl w:val="1"/>
          <w:numId w:val="1"/>
        </w:numPr>
        <w:ind w:hanging="0" w:left="0"/>
        <w:rPr>
          <w:lang w:eastAsia="en-US"/>
        </w:rPr>
      </w:pPr>
      <w:r>
        <w:rPr>
          <w:lang w:eastAsia="en-US"/>
        </w:rPr>
        <w:t>O fiscal técnico do contrato realizará o recebimento provisório do objeto do contrato mediante termo detalhado que comprove o cumprimento das exigências de caráter técnico. (</w:t>
      </w:r>
      <w:r>
        <w:fldChar w:fldCharType="begin"/>
      </w:r>
      <w:r>
        <w:rPr>
          <w:rStyle w:val="Hyperlink"/>
          <w:lang w:eastAsia="en-US"/>
        </w:rPr>
        <w:instrText xml:space="preserve"> HYPERLINK "http://www.planalto.gov.br/ccivil_03/_ato2019-2022/2022/decreto/D11246.htm" \l "art22"</w:instrText>
      </w:r>
      <w:r>
        <w:rPr>
          <w:rStyle w:val="Hyperlink"/>
          <w:lang w:eastAsia="en-US"/>
        </w:rPr>
        <w:fldChar w:fldCharType="separate"/>
      </w:r>
      <w:r>
        <w:rPr>
          <w:rStyle w:val="Hyperlink"/>
          <w:lang w:eastAsia="en-US"/>
        </w:rPr>
        <w:t>Art. 22, X, Decreto nº 11.246, de 2022</w:t>
      </w:r>
      <w:r>
        <w:rPr>
          <w:rStyle w:val="Hyperlink"/>
          <w:lang w:eastAsia="en-US"/>
        </w:rPr>
        <w:fldChar w:fldCharType="end"/>
      </w:r>
      <w:r>
        <w:rPr>
          <w:lang w:eastAsia="en-US"/>
        </w:rPr>
        <w:t>).</w:t>
      </w:r>
    </w:p>
    <w:p>
      <w:pPr>
        <w:pStyle w:val="Nivel2"/>
        <w:numPr>
          <w:ilvl w:val="1"/>
          <w:numId w:val="1"/>
        </w:numPr>
        <w:ind w:hanging="0" w:left="0"/>
        <w:rPr>
          <w:lang w:eastAsia="en-US"/>
        </w:rPr>
      </w:pPr>
      <w:r>
        <w:rPr>
          <w:lang w:eastAsia="en-US"/>
        </w:rPr>
        <w:t>O fiscal administrativo do contrato realizará o recebimento provisório do objeto do contrato mediante termo detalhado que comprove o cumprimento das exigências de caráter administrativo. (</w:t>
      </w:r>
      <w:r>
        <w:fldChar w:fldCharType="begin"/>
      </w:r>
      <w:r>
        <w:rPr>
          <w:rStyle w:val="Hyperlink"/>
          <w:lang w:eastAsia="en-US"/>
        </w:rPr>
        <w:instrText xml:space="preserve"> HYPERLINK "http://www.planalto.gov.br/ccivil_03/_ato2019-2022/2022/decreto/D11246.htm" \l "art23"</w:instrText>
      </w:r>
      <w:r>
        <w:rPr>
          <w:rStyle w:val="Hyperlink"/>
          <w:lang w:eastAsia="en-US"/>
        </w:rPr>
        <w:fldChar w:fldCharType="separate"/>
      </w:r>
      <w:r>
        <w:rPr>
          <w:rStyle w:val="Hyperlink"/>
          <w:lang w:eastAsia="en-US"/>
        </w:rPr>
        <w:t>Art. 23, X, Decreto nº 11.246, de 2022</w:t>
      </w:r>
      <w:r>
        <w:rPr>
          <w:rStyle w:val="Hyperlink"/>
          <w:lang w:eastAsia="en-US"/>
        </w:rPr>
        <w:fldChar w:fldCharType="end"/>
      </w:r>
      <w:r>
        <w:rPr>
          <w:lang w:eastAsia="en-US"/>
        </w:rPr>
        <w:t>).</w:t>
      </w:r>
    </w:p>
    <w:p>
      <w:pPr>
        <w:pStyle w:val="Nivel2"/>
        <w:numPr>
          <w:ilvl w:val="1"/>
          <w:numId w:val="1"/>
        </w:numPr>
        <w:ind w:hanging="0" w:left="0"/>
        <w:rPr>
          <w:lang w:eastAsia="en-US"/>
        </w:rPr>
      </w:pPr>
      <w:r>
        <w:rPr>
          <w:lang w:eastAsia="en-US"/>
        </w:rPr>
        <w:t>O fiscal setorial do contrato, quando houver, realizará o recebimento provisório sob o ponto de vista técnico e administrativo.</w:t>
      </w:r>
    </w:p>
    <w:p>
      <w:pPr>
        <w:pStyle w:val="Nivel2"/>
        <w:numPr>
          <w:ilvl w:val="1"/>
          <w:numId w:val="1"/>
        </w:numPr>
        <w:ind w:hanging="0" w:left="0"/>
        <w:rPr>
          <w:lang w:eastAsia="en-US"/>
        </w:rPr>
      </w:pPr>
      <w:r>
        <w:rPr>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pPr>
        <w:pStyle w:val="Nivel3"/>
        <w:numPr>
          <w:ilvl w:val="2"/>
          <w:numId w:val="1"/>
        </w:numPr>
        <w:ind w:hanging="0" w:left="284"/>
        <w:rPr>
          <w:lang w:eastAsia="en-US"/>
        </w:rPr>
      </w:pPr>
      <w:r>
        <w:rPr>
          <w:lang w:eastAsia="en-US"/>
        </w:rPr>
        <w:t>Será considerado como ocorrido o recebimento provisório com a entrega do termo detalhado ou, em havendo mais de um a ser feito, com a entrega do último;</w:t>
      </w:r>
    </w:p>
    <w:p>
      <w:pPr>
        <w:pStyle w:val="Nivel3"/>
        <w:numPr>
          <w:ilvl w:val="2"/>
          <w:numId w:val="1"/>
        </w:numPr>
        <w:ind w:hanging="0" w:left="284"/>
        <w:rPr>
          <w:lang w:eastAsia="en-US"/>
        </w:rPr>
      </w:pPr>
      <w:r>
        <w:rPr>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pPr>
        <w:pStyle w:val="Nivel3"/>
        <w:numPr>
          <w:ilvl w:val="2"/>
          <w:numId w:val="1"/>
        </w:numPr>
        <w:ind w:hanging="0" w:left="284"/>
        <w:rPr>
          <w:lang w:eastAsia="en-US"/>
        </w:rPr>
      </w:pPr>
      <w:r>
        <w:rPr>
          <w:lang w:eastAsia="en-US"/>
        </w:rPr>
        <w:t>A fiscalização não efetuará o ateste da última e/ou única medição de serviços até que sejam sanadas todas as eventuais pendências que possam vir a ser apontadas no Recebimento Provisório. (</w:t>
      </w:r>
      <w:r>
        <w:fldChar w:fldCharType="begin"/>
      </w:r>
      <w:r>
        <w:rPr>
          <w:rStyle w:val="Hyperlink"/>
          <w:lang w:eastAsia="en-US"/>
        </w:rPr>
        <w:instrText xml:space="preserve"> HYPERLINK "http://www.planalto.gov.br/ccivil_03/_ato2019-2022/2021/lei/L14133.htm" \l "art119"</w:instrText>
      </w:r>
      <w:r>
        <w:rPr>
          <w:rStyle w:val="Hyperlink"/>
          <w:lang w:eastAsia="en-US"/>
        </w:rPr>
        <w:fldChar w:fldCharType="separate"/>
      </w:r>
      <w:r>
        <w:rPr>
          <w:rStyle w:val="Hyperlink"/>
          <w:lang w:eastAsia="en-US"/>
        </w:rPr>
        <w:t>Art. 119 c/c art. 140 da Lei nº 14133, de 2021</w:t>
      </w:r>
      <w:r>
        <w:rPr>
          <w:rStyle w:val="Hyperlink"/>
          <w:lang w:eastAsia="en-US"/>
        </w:rPr>
        <w:fldChar w:fldCharType="end"/>
      </w:r>
      <w:r>
        <w:rPr>
          <w:lang w:eastAsia="en-US"/>
        </w:rPr>
        <w:t>)</w:t>
      </w:r>
    </w:p>
    <w:p>
      <w:pPr>
        <w:pStyle w:val="Nivel3"/>
        <w:numPr>
          <w:ilvl w:val="2"/>
          <w:numId w:val="1"/>
        </w:numPr>
        <w:ind w:hanging="0" w:left="284"/>
        <w:rPr>
          <w:lang w:eastAsia="en-US"/>
        </w:rPr>
      </w:pPr>
      <w:r>
        <w:rPr>
          <w:lang w:eastAsia="en-US"/>
        </w:rPr>
        <w:t>O recebimento provisório também ficará sujeito, quando cabível, à conclusão de todos os testes de campo e à entrega dos Manuais e Instruções exigíveis.</w:t>
      </w:r>
    </w:p>
    <w:p>
      <w:pPr>
        <w:pStyle w:val="Nivel3"/>
        <w:numPr>
          <w:ilvl w:val="2"/>
          <w:numId w:val="1"/>
        </w:numPr>
        <w:ind w:hanging="0" w:left="284"/>
        <w:rPr>
          <w:lang w:eastAsia="en-US"/>
        </w:rPr>
      </w:pPr>
      <w:r>
        <w:rPr>
          <w:lang w:eastAsia="en-US"/>
        </w:rPr>
        <w:t>Os serviços poderão ser rejeitados, no todo ou em parte, quando em desacordo com as especificações constantes neste Termo de Referência e na proposta, sem prejuízo da aplicação das penalidades.</w:t>
      </w:r>
    </w:p>
    <w:p>
      <w:pPr>
        <w:pStyle w:val="Nivel2"/>
        <w:numPr>
          <w:ilvl w:val="1"/>
          <w:numId w:val="1"/>
        </w:numPr>
        <w:ind w:hanging="0" w:left="0"/>
        <w:rPr>
          <w:lang w:eastAsia="en-US"/>
        </w:rPr>
      </w:pPr>
      <w:r>
        <w:rPr>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pPr>
        <w:pStyle w:val="Nivel2"/>
        <w:numPr>
          <w:ilvl w:val="1"/>
          <w:numId w:val="1"/>
        </w:numPr>
        <w:ind w:hanging="0" w:left="0"/>
        <w:rPr>
          <w:lang w:eastAsia="en-US"/>
        </w:rPr>
      </w:pPr>
      <w:r>
        <w:rPr>
          <w:lang w:eastAsia="en-US"/>
        </w:rPr>
        <w:t>Os serviços serão recebidos definitivamente no prazo de 30(trinta) dias, contados do recebimento provisório, por servidor ou comissão designada pela autoridade competente, após a verificação da qualidade e quantidade do serviço e consequente aceitação mediante termo detalhado, obedecendo os seguintes procedimentos:</w:t>
      </w:r>
    </w:p>
    <w:p>
      <w:pPr>
        <w:pStyle w:val="Nivel3"/>
        <w:numPr>
          <w:ilvl w:val="2"/>
          <w:numId w:val="1"/>
        </w:numPr>
        <w:ind w:hanging="0" w:left="284"/>
        <w:rPr>
          <w:bCs/>
          <w:lang w:eastAsia="en-US"/>
        </w:rPr>
      </w:pPr>
      <w:r>
        <w:rPr>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r>
        <w:fldChar w:fldCharType="begin"/>
      </w:r>
      <w:r>
        <w:rPr>
          <w:rStyle w:val="Hyperlink"/>
          <w:lang w:eastAsia="en-US"/>
        </w:rPr>
        <w:instrText xml:space="preserve"> HYPERLINK "http://www.planalto.gov.br/ccivil_03/_ato2019-2022/2022/decreto/D11246.htm" \l "art21"</w:instrText>
      </w:r>
      <w:r>
        <w:rPr>
          <w:rStyle w:val="Hyperlink"/>
          <w:lang w:eastAsia="en-US"/>
        </w:rPr>
        <w:fldChar w:fldCharType="separate"/>
      </w:r>
      <w:r>
        <w:rPr>
          <w:rStyle w:val="Hyperlink"/>
          <w:lang w:eastAsia="en-US"/>
        </w:rPr>
        <w:t>art. 21, VIII, Decreto nº 11.246, de 2022</w:t>
      </w:r>
      <w:r>
        <w:rPr>
          <w:rStyle w:val="Hyperlink"/>
          <w:lang w:eastAsia="en-US"/>
        </w:rPr>
        <w:fldChar w:fldCharType="end"/>
      </w:r>
      <w:r>
        <w:rPr>
          <w:lang w:eastAsia="en-US"/>
        </w:rPr>
        <w:t>).</w:t>
      </w:r>
    </w:p>
    <w:p>
      <w:pPr>
        <w:pStyle w:val="Nivel3"/>
        <w:numPr>
          <w:ilvl w:val="2"/>
          <w:numId w:val="1"/>
        </w:numPr>
        <w:ind w:hanging="0" w:left="284"/>
        <w:rPr>
          <w:bCs/>
          <w:lang w:eastAsia="en-US"/>
        </w:rPr>
      </w:pPr>
      <w:r>
        <w:rPr>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pPr>
        <w:pStyle w:val="Nivel3"/>
        <w:numPr>
          <w:ilvl w:val="2"/>
          <w:numId w:val="1"/>
        </w:numPr>
        <w:ind w:hanging="0" w:left="284"/>
        <w:rPr>
          <w:lang w:eastAsia="en-US"/>
        </w:rPr>
      </w:pPr>
      <w:r>
        <w:rPr>
          <w:lang w:eastAsia="en-US"/>
        </w:rPr>
        <w:t xml:space="preserve">Emitir </w:t>
      </w:r>
      <w:r>
        <w:rPr>
          <w:rFonts w:cs="Tahoma" w:ascii="Ecofont_Spranq_eco_Sans" w:hAnsi="Ecofont_Spranq_eco_Sans"/>
          <w:color w:val="auto"/>
          <w:sz w:val="24"/>
          <w:szCs w:val="24"/>
          <w:lang w:eastAsia="en-US"/>
        </w:rPr>
        <w:t xml:space="preserve">Termo </w:t>
      </w:r>
      <w:r>
        <w:rPr>
          <w:lang w:eastAsia="en-US"/>
        </w:rPr>
        <w:t>Detalhado para efeito de recebimento definitivo dos serviços prestados, com base nos relatórios e documentações apresentadas; e</w:t>
      </w:r>
    </w:p>
    <w:p>
      <w:pPr>
        <w:pStyle w:val="Nivel3"/>
        <w:numPr>
          <w:ilvl w:val="2"/>
          <w:numId w:val="1"/>
        </w:numPr>
        <w:ind w:hanging="0" w:left="284"/>
        <w:rPr>
          <w:bCs/>
          <w:lang w:eastAsia="en-US"/>
        </w:rPr>
      </w:pPr>
      <w:r>
        <w:rPr>
          <w:lang w:eastAsia="en-US"/>
        </w:rPr>
        <w:t>Comunicar a empresa para que emita a Nota Fiscal ou Fatura, com o valor exato dimensionado pela fiscalização.</w:t>
      </w:r>
    </w:p>
    <w:p>
      <w:pPr>
        <w:pStyle w:val="Nivel3"/>
        <w:numPr>
          <w:ilvl w:val="2"/>
          <w:numId w:val="1"/>
        </w:numPr>
        <w:ind w:hanging="0" w:left="284"/>
        <w:rPr>
          <w:bCs/>
          <w:lang w:eastAsia="en-US"/>
        </w:rPr>
      </w:pPr>
      <w:r>
        <w:rPr>
          <w:lang w:eastAsia="en-US"/>
        </w:rPr>
        <w:t>Enviar a documentação pertinente ao setor de contratos para a formalização dos procedimentos de liquidação e pagamento, no valor dimensionado pela fiscalização e gestão.</w:t>
      </w:r>
    </w:p>
    <w:p>
      <w:pPr>
        <w:pStyle w:val="Nivel2"/>
        <w:numPr>
          <w:ilvl w:val="1"/>
          <w:numId w:val="1"/>
        </w:numPr>
        <w:ind w:hanging="0" w:left="0"/>
        <w:rPr>
          <w:lang w:eastAsia="en-US"/>
        </w:rPr>
      </w:pPr>
      <w:r>
        <w:rPr>
          <w:lang w:eastAsia="en-US"/>
        </w:rPr>
        <w:t xml:space="preserve">No caso de controvérsia sobre a execução do objeto, quanto à dimensão, qualidade e quantidade, deverá ser observado o teor do </w:t>
      </w:r>
      <w:r>
        <w:fldChar w:fldCharType="begin"/>
      </w:r>
      <w:r>
        <w:rPr>
          <w:rStyle w:val="Hyperlink"/>
          <w:lang w:eastAsia="en-US"/>
        </w:rPr>
        <w:instrText xml:space="preserve"> HYPERLINK "http://www.planalto.gov.br/ccivil_03/_ato2019-2022/2021/lei/L14133.htm" \l "art143"</w:instrText>
      </w:r>
      <w:r>
        <w:rPr>
          <w:rStyle w:val="Hyperlink"/>
          <w:lang w:eastAsia="en-US"/>
        </w:rPr>
        <w:fldChar w:fldCharType="separate"/>
      </w:r>
      <w:r>
        <w:rPr>
          <w:rStyle w:val="Hyperlink"/>
          <w:lang w:eastAsia="en-US"/>
        </w:rPr>
        <w:t>art. 143 da Lei nº 14.133, de 2021</w:t>
      </w:r>
      <w:r>
        <w:rPr>
          <w:rStyle w:val="Hyperlink"/>
          <w:lang w:eastAsia="en-US"/>
        </w:rPr>
        <w:fldChar w:fldCharType="end"/>
      </w:r>
      <w:r>
        <w:rPr>
          <w:lang w:eastAsia="en-US"/>
        </w:rPr>
        <w:t>, comunicando-se à empresa para emissão de Nota Fiscal no que pertine à parcela incontroversa da execução do objeto, para efeito de liquidação e pagamento.</w:t>
      </w:r>
    </w:p>
    <w:p>
      <w:pPr>
        <w:pStyle w:val="Nivel2"/>
        <w:numPr>
          <w:ilvl w:val="1"/>
          <w:numId w:val="1"/>
        </w:numPr>
        <w:ind w:hanging="0" w:left="0"/>
        <w:rPr>
          <w:lang w:eastAsia="en-US"/>
        </w:rPr>
      </w:pPr>
      <w:r>
        <w:rPr>
          <w:lang w:eastAsia="en-US"/>
        </w:rPr>
        <w:t>Nenhum prazo de recebimento ocorrerá enquanto pendente a solução, pelo contratado, de inconsistências verificadas na execução do objeto ou no instrumento de cobrança.</w:t>
      </w:r>
    </w:p>
    <w:p>
      <w:pPr>
        <w:pStyle w:val="Nivel2"/>
        <w:numPr>
          <w:ilvl w:val="1"/>
          <w:numId w:val="1"/>
        </w:numPr>
        <w:ind w:hanging="0" w:left="0"/>
        <w:rPr>
          <w:lang w:eastAsia="en-US"/>
        </w:rPr>
      </w:pPr>
      <w:r>
        <w:rPr>
          <w:lang w:eastAsia="en-US"/>
        </w:rPr>
        <w:t>O recebimento provisório ou definitivo não excluirá a responsabilidade civil pela solidez e pela segurança do serviço nem a responsabilidade ético-profissional pela perfeita execução do contrato.</w:t>
      </w:r>
    </w:p>
    <w:p>
      <w:pPr>
        <w:pStyle w:val="Nvel01-SemNumerao"/>
        <w:rPr/>
      </w:pPr>
      <w:r>
        <w:rPr/>
        <w:t>Liquidação</w:t>
      </w:r>
    </w:p>
    <w:p>
      <w:pPr>
        <w:pStyle w:val="Nivel2"/>
        <w:numPr>
          <w:ilvl w:val="1"/>
          <w:numId w:val="1"/>
        </w:numPr>
        <w:ind w:hanging="0" w:left="0"/>
        <w:rPr/>
      </w:pPr>
      <w:r>
        <w:rPr/>
        <w:t xml:space="preserve">Recebida a Nota Fiscal ou documento de cobrança equivalente, correrá o prazo de dez dias úteis para fins de liquidação, na forma desta seção, prorrogáveis por igual período, nos termos do </w:t>
      </w:r>
      <w:hyperlink r:id="rId4">
        <w:r>
          <w:rPr>
            <w:rStyle w:val="Hyperlink"/>
          </w:rPr>
          <w:t>art. 7º, §2º da Instrução Normativa SEGES/ME nº 77/2022.</w:t>
        </w:r>
      </w:hyperlink>
    </w:p>
    <w:p>
      <w:pPr>
        <w:pStyle w:val="Nivel2"/>
        <w:numPr>
          <w:ilvl w:val="1"/>
          <w:numId w:val="1"/>
        </w:numPr>
        <w:ind w:hanging="0" w:left="0"/>
        <w:rPr/>
      </w:pPr>
      <w:r>
        <w:rPr/>
        <w:t xml:space="preserve">O prazo de que trata o item anterior será reduzido à metade, mantendo-se a possibilidade de prorrogação, nos casos de contratações decorrentes de despesas cujos valores não ultrapassem o limite de que trata o </w:t>
      </w:r>
      <w:r>
        <w:fldChar w:fldCharType="begin"/>
      </w:r>
      <w:r>
        <w:rPr>
          <w:rStyle w:val="Hyperlink"/>
        </w:rPr>
        <w:instrText xml:space="preserve"> HYPERLINK "http://www.planalto.gov.br/ccivil_03/_ato2019-2022/2021/lei/L14133.htm" \l "art75"</w:instrText>
      </w:r>
      <w:r>
        <w:rPr>
          <w:rStyle w:val="Hyperlink"/>
        </w:rPr>
        <w:fldChar w:fldCharType="separate"/>
      </w:r>
      <w:r>
        <w:rPr>
          <w:rStyle w:val="Hyperlink"/>
        </w:rPr>
        <w:t>inciso II do art. 75 da Lei nº 14.133, de 2021</w:t>
      </w:r>
      <w:r>
        <w:rPr>
          <w:rStyle w:val="Hyperlink"/>
        </w:rPr>
        <w:fldChar w:fldCharType="end"/>
      </w:r>
    </w:p>
    <w:p>
      <w:pPr>
        <w:pStyle w:val="Nivel2"/>
        <w:numPr>
          <w:ilvl w:val="1"/>
          <w:numId w:val="1"/>
        </w:numPr>
        <w:ind w:hanging="0" w:left="0"/>
        <w:rPr/>
      </w:pPr>
      <w:r>
        <w:rPr/>
        <w:t>Para fins de liquidação, o setor competente deve verificar se a Nota Fiscal ou Fatura apresentada expressa os elementos necessários e essenciais do documento, tais como:</w:t>
      </w:r>
    </w:p>
    <w:p>
      <w:pPr>
        <w:pStyle w:val="Nivel3"/>
        <w:numPr>
          <w:ilvl w:val="2"/>
          <w:numId w:val="1"/>
        </w:numPr>
        <w:ind w:hanging="0" w:left="284"/>
        <w:rPr>
          <w:lang w:eastAsia="en-US"/>
        </w:rPr>
      </w:pPr>
      <w:r>
        <w:rPr>
          <w:lang w:eastAsia="en-US"/>
        </w:rPr>
        <w:t xml:space="preserve"> </w:t>
      </w:r>
      <w:r>
        <w:rPr>
          <w:lang w:eastAsia="en-US"/>
        </w:rPr>
        <w:t>o prazo de validade;</w:t>
      </w:r>
    </w:p>
    <w:p>
      <w:pPr>
        <w:pStyle w:val="Nivel3"/>
        <w:numPr>
          <w:ilvl w:val="2"/>
          <w:numId w:val="1"/>
        </w:numPr>
        <w:ind w:hanging="0" w:left="284"/>
        <w:rPr>
          <w:lang w:eastAsia="en-US"/>
        </w:rPr>
      </w:pPr>
      <w:r>
        <w:rPr>
          <w:lang w:eastAsia="en-US"/>
        </w:rPr>
        <w:t xml:space="preserve"> </w:t>
      </w:r>
      <w:r>
        <w:rPr>
          <w:lang w:eastAsia="en-US"/>
        </w:rPr>
        <w:t>a data da emissão;</w:t>
      </w:r>
    </w:p>
    <w:p>
      <w:pPr>
        <w:pStyle w:val="Nivel3"/>
        <w:numPr>
          <w:ilvl w:val="2"/>
          <w:numId w:val="1"/>
        </w:numPr>
        <w:ind w:hanging="0" w:left="284"/>
        <w:rPr>
          <w:lang w:eastAsia="en-US"/>
        </w:rPr>
      </w:pPr>
      <w:r>
        <w:rPr>
          <w:lang w:eastAsia="en-US"/>
        </w:rPr>
        <w:t xml:space="preserve"> </w:t>
      </w:r>
      <w:r>
        <w:rPr>
          <w:lang w:eastAsia="en-US"/>
        </w:rPr>
        <w:t>os dados do contrato e do órgão contratante;</w:t>
      </w:r>
    </w:p>
    <w:p>
      <w:pPr>
        <w:pStyle w:val="Nivel3"/>
        <w:numPr>
          <w:ilvl w:val="2"/>
          <w:numId w:val="1"/>
        </w:numPr>
        <w:ind w:hanging="0" w:left="284"/>
        <w:rPr>
          <w:lang w:eastAsia="en-US"/>
        </w:rPr>
      </w:pPr>
      <w:r>
        <w:rPr>
          <w:lang w:eastAsia="en-US"/>
        </w:rPr>
        <w:t xml:space="preserve"> </w:t>
      </w:r>
      <w:r>
        <w:rPr>
          <w:lang w:eastAsia="en-US"/>
        </w:rPr>
        <w:t>o período respectivo de execução do contrato;</w:t>
      </w:r>
    </w:p>
    <w:p>
      <w:pPr>
        <w:pStyle w:val="Nivel3"/>
        <w:numPr>
          <w:ilvl w:val="2"/>
          <w:numId w:val="1"/>
        </w:numPr>
        <w:ind w:hanging="0" w:left="284"/>
        <w:rPr>
          <w:lang w:eastAsia="en-US"/>
        </w:rPr>
      </w:pPr>
      <w:r>
        <w:rPr>
          <w:lang w:eastAsia="en-US"/>
        </w:rPr>
        <w:t xml:space="preserve"> </w:t>
      </w:r>
      <w:r>
        <w:rPr>
          <w:lang w:eastAsia="en-US"/>
        </w:rPr>
        <w:t>o valor a pagar; e</w:t>
      </w:r>
    </w:p>
    <w:p>
      <w:pPr>
        <w:pStyle w:val="Nivel3"/>
        <w:numPr>
          <w:ilvl w:val="2"/>
          <w:numId w:val="1"/>
        </w:numPr>
        <w:ind w:hanging="0" w:left="284"/>
        <w:rPr>
          <w:lang w:eastAsia="en-US"/>
        </w:rPr>
      </w:pPr>
      <w:r>
        <w:rPr>
          <w:lang w:eastAsia="en-US"/>
        </w:rPr>
        <w:t xml:space="preserve"> </w:t>
      </w:r>
      <w:r>
        <w:rPr>
          <w:lang w:eastAsia="en-US"/>
        </w:rPr>
        <w:t>eventual destaque do valor de retenções tributárias cabíveis.</w:t>
      </w:r>
    </w:p>
    <w:p>
      <w:pPr>
        <w:pStyle w:val="Nivel2"/>
        <w:numPr>
          <w:ilvl w:val="1"/>
          <w:numId w:val="1"/>
        </w:numPr>
        <w:ind w:hanging="0" w:left="0"/>
        <w:rPr/>
      </w:pPr>
      <w:r>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pPr>
        <w:pStyle w:val="Nivel2"/>
        <w:numPr>
          <w:ilvl w:val="1"/>
          <w:numId w:val="1"/>
        </w:numPr>
        <w:ind w:hanging="0" w:left="0"/>
        <w:rPr/>
      </w:pPr>
      <w:r>
        <w:rPr/>
        <w:t xml:space="preserve">A Nota Fiscal ou Fatura deverá ser obrigatoriamente acompanhada da comprovação da regularidade fiscal, constatada por meio de consulta </w:t>
      </w:r>
      <w:r>
        <w:rPr>
          <w:i/>
          <w:iCs/>
        </w:rPr>
        <w:t>on-line</w:t>
      </w:r>
      <w:r>
        <w:rPr/>
        <w:t xml:space="preserve"> ao SICAF ou, na impossibilidade de acesso ao referido Sistema, mediante consulta aos sítios eletrônicos oficiais ou à documentação mencionada no art. 68 da Lei nº 14.133/2021.</w:t>
      </w:r>
    </w:p>
    <w:p>
      <w:pPr>
        <w:pStyle w:val="Nivel2"/>
        <w:numPr>
          <w:ilvl w:val="1"/>
          <w:numId w:val="1"/>
        </w:numPr>
        <w:ind w:hanging="0" w:left="0"/>
        <w:rPr/>
      </w:pPr>
      <w:r>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r>
        <w:rPr>
          <w:color w:themeColor="text1" w:val="000000"/>
        </w:rPr>
        <w:t xml:space="preserve"> (INSTRUÇÃO NORMATIVA Nº 3, DE 26 DE ABRIL DE 2018</w:t>
      </w:r>
      <w:bookmarkStart w:id="1" w:name="_Int_T4XqlsQA"/>
      <w:r>
        <w:rPr/>
        <w:t>).</w:t>
      </w:r>
      <w:bookmarkEnd w:id="1"/>
    </w:p>
    <w:p>
      <w:pPr>
        <w:pStyle w:val="Nivel2"/>
        <w:numPr>
          <w:ilvl w:val="1"/>
          <w:numId w:val="1"/>
        </w:numPr>
        <w:ind w:hanging="0" w:left="0"/>
        <w:rPr/>
      </w:pPr>
      <w:r>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ivel2"/>
        <w:numPr>
          <w:ilvl w:val="1"/>
          <w:numId w:val="1"/>
        </w:numPr>
        <w:ind w:hanging="0" w:left="0"/>
        <w:rPr/>
      </w:pPr>
      <w:r>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ivel2"/>
        <w:numPr>
          <w:ilvl w:val="1"/>
          <w:numId w:val="1"/>
        </w:numPr>
        <w:ind w:hanging="0" w:left="0"/>
        <w:rPr/>
      </w:pPr>
      <w:r>
        <w:rPr/>
        <w:t>Persistindo a irregularidade, o contratante deverá adotar as medidas necessárias à rescisão contratual nos autos do processo administrativo correspondente, assegurada ao contratado a ampla defesa.</w:t>
      </w:r>
    </w:p>
    <w:p>
      <w:pPr>
        <w:pStyle w:val="Nivel2"/>
        <w:numPr>
          <w:ilvl w:val="1"/>
          <w:numId w:val="1"/>
        </w:numPr>
        <w:ind w:hanging="0" w:left="0"/>
        <w:rPr/>
      </w:pPr>
      <w:r>
        <w:rPr/>
        <w:t xml:space="preserve">Havendo a efetiva execução do objeto, os pagamentos serão realizados normalmente, até que se decida pela rescisão do contrato, caso o contratado não regularize sua situação junto ao SICAF. </w:t>
      </w:r>
    </w:p>
    <w:p>
      <w:pPr>
        <w:pStyle w:val="Nvel01-SemNumerao"/>
        <w:rPr/>
      </w:pPr>
      <w:r>
        <w:rPr/>
        <w:t>Prazo de pagamento</w:t>
      </w:r>
    </w:p>
    <w:p>
      <w:pPr>
        <w:pStyle w:val="Nivel2"/>
        <w:numPr>
          <w:ilvl w:val="1"/>
          <w:numId w:val="1"/>
        </w:numPr>
        <w:ind w:hanging="0" w:left="0"/>
        <w:rPr/>
      </w:pPr>
      <w:r>
        <w:rPr/>
        <w:t>O pagamento será efetuado no prazo máximo de até dez dias úteis, contados da finalização da liquidação da despesa, conforme seção anterior, nos termos da Instrução Normativa SEGES/ME nº 77, de 2022.</w:t>
      </w:r>
    </w:p>
    <w:p>
      <w:pPr>
        <w:pStyle w:val="Nivel2"/>
        <w:numPr>
          <w:ilvl w:val="1"/>
          <w:numId w:val="1"/>
        </w:numPr>
        <w:ind w:hanging="0" w:left="0"/>
        <w:rPr/>
      </w:pPr>
      <w:r>
        <w:rPr/>
        <w:t xml:space="preserve">No caso de atraso pelo Contratante, os valores devidos ao contratado serão atualizados monetariamente entre o termo final do prazo de pagamento até a data de sua efetiva realização, mediante aplicação do índice </w:t>
      </w:r>
      <w:r>
        <w:rPr>
          <w:iCs/>
          <w:color w:val="auto"/>
        </w:rPr>
        <w:t>IPCA</w:t>
      </w:r>
      <w:r>
        <w:rPr/>
        <w:t xml:space="preserve"> de correção monetária.</w:t>
      </w:r>
    </w:p>
    <w:p>
      <w:pPr>
        <w:pStyle w:val="Nvel01-SemNumerao"/>
        <w:rPr/>
      </w:pPr>
      <w:r>
        <w:rPr/>
        <w:t>Forma de pagamento</w:t>
      </w:r>
    </w:p>
    <w:p>
      <w:pPr>
        <w:pStyle w:val="Nvel2-Red"/>
        <w:numPr>
          <w:ilvl w:val="1"/>
          <w:numId w:val="1"/>
        </w:numPr>
        <w:ind w:hanging="0" w:left="0"/>
        <w:rPr>
          <w:strike/>
        </w:rPr>
      </w:pPr>
      <w:r>
        <w:rPr/>
        <w:t>O pagamento será realizado através de ordem bancária, para crédito em banco, agência e conta corrente indicados pelo contratado.</w:t>
      </w:r>
    </w:p>
    <w:p>
      <w:pPr>
        <w:pStyle w:val="Nvel2-Red"/>
        <w:numPr>
          <w:ilvl w:val="1"/>
          <w:numId w:val="1"/>
        </w:numPr>
        <w:ind w:hanging="0" w:left="0"/>
        <w:rPr>
          <w:strike/>
        </w:rPr>
      </w:pPr>
      <w:r>
        <w:rPr/>
        <w:t>Será considerada data do pagamento o dia em que constar como emitida a ordem bancária para pagamento.</w:t>
      </w:r>
    </w:p>
    <w:p>
      <w:pPr>
        <w:pStyle w:val="Nivel2"/>
        <w:numPr>
          <w:ilvl w:val="1"/>
          <w:numId w:val="1"/>
        </w:numPr>
        <w:ind w:hanging="0" w:left="0"/>
        <w:rPr>
          <w:lang w:eastAsia="en-US"/>
        </w:rPr>
      </w:pPr>
      <w:r>
        <w:rPr>
          <w:lang w:eastAsia="en-US"/>
        </w:rPr>
        <w:t>Quando do pagamento, será efetuada a retenção tributária prevista na legislação aplicável.</w:t>
      </w:r>
    </w:p>
    <w:p>
      <w:pPr>
        <w:pStyle w:val="Nivel3"/>
        <w:numPr>
          <w:ilvl w:val="2"/>
          <w:numId w:val="1"/>
        </w:numPr>
        <w:ind w:hanging="0" w:left="284"/>
        <w:rPr>
          <w:lang w:eastAsia="en-US"/>
        </w:rPr>
      </w:pPr>
      <w:r>
        <w:rPr>
          <w:lang w:eastAsia="en-US"/>
        </w:rPr>
        <w:t>Independentemente do percentual de tributo inserido na planilha, quando houver, serão retidos na fonte, quando da realização do pagamento, os percentuais estabelecidos na legislação vigente.</w:t>
      </w:r>
    </w:p>
    <w:p>
      <w:pPr>
        <w:pStyle w:val="Nivel2"/>
        <w:numPr>
          <w:ilvl w:val="1"/>
          <w:numId w:val="1"/>
        </w:numPr>
        <w:ind w:hanging="0" w:left="0"/>
        <w:rPr>
          <w:lang w:eastAsia="en-US"/>
        </w:rPr>
      </w:pPr>
      <w:r>
        <w:rPr>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vel01-SemNumerao"/>
        <w:rPr/>
      </w:pPr>
      <w:r>
        <w:rPr/>
        <w:t>Cessão de crédito</w:t>
      </w:r>
    </w:p>
    <w:p>
      <w:pPr>
        <w:pStyle w:val="Nivel2"/>
        <w:numPr>
          <w:ilvl w:val="1"/>
          <w:numId w:val="1"/>
        </w:numPr>
        <w:ind w:hanging="0" w:left="0"/>
        <w:rPr/>
      </w:pPr>
      <w:r>
        <w:rPr/>
        <w:t>É admitida a cessão fiduciária de direitos creditícios com instituição financeira, nos termos e de acordo com os procedimentos previstos na Instrução Normativa SEGES/ME nº 53, de 8 de julho de 2020, conforme as regras deste presente tópico.</w:t>
      </w:r>
    </w:p>
    <w:p>
      <w:pPr>
        <w:pStyle w:val="Nvel3-R"/>
        <w:numPr>
          <w:ilvl w:val="2"/>
          <w:numId w:val="1"/>
        </w:numPr>
        <w:ind w:hanging="0" w:left="284"/>
        <w:rPr/>
      </w:pPr>
      <w:r>
        <w:rPr/>
        <w:t>As cessões de crédito não fiduciárias dependerão de prévia aprovação do contratante.</w:t>
      </w:r>
    </w:p>
    <w:p>
      <w:pPr>
        <w:pStyle w:val="Nivel2"/>
        <w:numPr>
          <w:ilvl w:val="1"/>
          <w:numId w:val="1"/>
        </w:numPr>
        <w:ind w:hanging="0" w:left="0"/>
        <w:rPr>
          <w:lang w:eastAsia="en-US"/>
        </w:rPr>
      </w:pPr>
      <w:r>
        <w:rPr>
          <w:lang w:eastAsia="en-US"/>
        </w:rPr>
        <w:t>A eficácia da cessão de crédito, de qualquer natureza, em relação à Administração, está condicionada à celebração de termo aditivo ao contrato administrativo.</w:t>
      </w:r>
    </w:p>
    <w:p>
      <w:pPr>
        <w:pStyle w:val="Nivel2"/>
        <w:numPr>
          <w:ilvl w:val="1"/>
          <w:numId w:val="1"/>
        </w:numPr>
        <w:ind w:hanging="0" w:left="0"/>
        <w:rPr>
          <w:lang w:eastAsia="en-US"/>
        </w:rPr>
      </w:pPr>
      <w:r>
        <w:rPr>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r>
        <w:fldChar w:fldCharType="begin"/>
      </w:r>
      <w:r>
        <w:rPr>
          <w:rStyle w:val="Hyperlink"/>
          <w:lang w:eastAsia="en-US"/>
        </w:rPr>
        <w:instrText xml:space="preserve"> HYPERLINK "https://www.planalto.gov.br/ccivil_03/leis/l8429.htm" \l "art12"</w:instrText>
      </w:r>
      <w:r>
        <w:rPr>
          <w:rStyle w:val="Hyperlink"/>
          <w:lang w:eastAsia="en-US"/>
        </w:rPr>
        <w:fldChar w:fldCharType="separate"/>
      </w:r>
      <w:r>
        <w:rPr>
          <w:rStyle w:val="Hyperlink"/>
          <w:lang w:eastAsia="en-US"/>
        </w:rPr>
        <w:t>art. 12 da Lei nº 8.429, de 1992</w:t>
      </w:r>
      <w:r>
        <w:rPr>
          <w:rStyle w:val="Hyperlink"/>
          <w:lang w:eastAsia="en-US"/>
        </w:rPr>
        <w:fldChar w:fldCharType="end"/>
      </w:r>
      <w:r>
        <w:rPr>
          <w:lang w:eastAsia="en-US"/>
        </w:rPr>
        <w:t xml:space="preserve">, nos termos do </w:t>
      </w:r>
      <w:hyperlink r:id="rId5">
        <w:r>
          <w:rPr>
            <w:rStyle w:val="Hyperlink"/>
            <w:lang w:eastAsia="en-US"/>
          </w:rPr>
          <w:t>Parecer JL-01, de 18 de maio de 2020.</w:t>
        </w:r>
      </w:hyperlink>
    </w:p>
    <w:p>
      <w:pPr>
        <w:pStyle w:val="Nivel2"/>
        <w:numPr>
          <w:ilvl w:val="1"/>
          <w:numId w:val="1"/>
        </w:numPr>
        <w:ind w:hanging="0" w:left="0"/>
        <w:rPr/>
      </w:pPr>
      <w:r>
        <w:rPr>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Pr>
          <w:color w:themeColor="text1" w:val="000000"/>
          <w:sz w:val="19"/>
          <w:szCs w:val="19"/>
        </w:rPr>
        <w:t xml:space="preserve"> (INSTRUÇÃO NORMATIVA Nº 53, DE 8 DE JULHO DE 2020 e Anexos)</w:t>
      </w:r>
    </w:p>
    <w:p>
      <w:pPr>
        <w:pStyle w:val="Nivel2"/>
        <w:numPr>
          <w:ilvl w:val="1"/>
          <w:numId w:val="1"/>
        </w:numPr>
        <w:ind w:hanging="0" w:left="0"/>
        <w:rPr>
          <w:lang w:eastAsia="en-US"/>
        </w:rPr>
      </w:pPr>
      <w:r>
        <w:rPr>
          <w:lang w:eastAsia="en-US"/>
        </w:rPr>
        <w:t>A cessão de crédito não afetará a execução do objeto contratado, que continuará sob a integral responsabilidade do contratado.</w:t>
      </w:r>
    </w:p>
    <w:p>
      <w:pPr>
        <w:pStyle w:val="Nivel01"/>
        <w:numPr>
          <w:ilvl w:val="0"/>
          <w:numId w:val="1"/>
        </w:numPr>
        <w:ind w:hanging="0" w:left="0"/>
        <w:rPr>
          <w:rFonts w:eastAsia="Calibri"/>
        </w:rPr>
      </w:pPr>
      <w:r>
        <w:rPr/>
        <w:t>FORMA E CRITÉRIOS DE SELEÇÃO DO FORNECEDOR E REGIME DE EXECUÇÃO</w:t>
      </w:r>
    </w:p>
    <w:p>
      <w:pPr>
        <w:pStyle w:val="Nvel01-SemNumerao"/>
        <w:rPr>
          <w:rFonts w:eastAsia="" w:eastAsiaTheme="minorEastAsia"/>
        </w:rPr>
      </w:pPr>
      <w:r>
        <w:rPr/>
        <w:t>Forma de seleção e critério de julgamento da proposta</w:t>
      </w:r>
    </w:p>
    <w:p>
      <w:pPr>
        <w:pStyle w:val="Nivel2"/>
        <w:numPr>
          <w:ilvl w:val="1"/>
          <w:numId w:val="1"/>
        </w:numPr>
        <w:ind w:hanging="0" w:left="0"/>
        <w:rPr>
          <w:rFonts w:eastAsia="MS Mincho"/>
          <w:i/>
          <w:i/>
          <w:iCs/>
          <w:color w:themeColor="text1" w:val="000000"/>
        </w:rPr>
      </w:pPr>
      <w:r>
        <w:rPr/>
        <w:t xml:space="preserve">O fornecedor será selecionado por meio da realização de procedimento de LICITAÇÃO, na modalidade PREGÃO, sob a forma ELETRÔNICA, com adoção do critério de julgamento pelo </w:t>
      </w:r>
      <w:r>
        <w:rPr>
          <w:color w:val="auto"/>
        </w:rPr>
        <w:t>MENOR PREÇO.</w:t>
      </w:r>
    </w:p>
    <w:p>
      <w:pPr>
        <w:pStyle w:val="Nvel01-SemNumerao"/>
        <w:rPr>
          <w:rFonts w:eastAsia="MS Mincho"/>
          <w:color w:themeColor="text1" w:val="000000"/>
        </w:rPr>
      </w:pPr>
      <w:r>
        <w:rPr/>
        <w:t>Regime de execução</w:t>
      </w:r>
    </w:p>
    <w:p>
      <w:pPr>
        <w:pStyle w:val="Nivel2"/>
        <w:numPr>
          <w:ilvl w:val="1"/>
          <w:numId w:val="1"/>
        </w:numPr>
        <w:ind w:hanging="0" w:left="0"/>
        <w:rPr>
          <w:rFonts w:eastAsia="MS Mincho"/>
          <w:i/>
          <w:i/>
          <w:iCs/>
        </w:rPr>
      </w:pPr>
      <w:r>
        <w:rPr/>
        <w:t xml:space="preserve">O regime de execução do contrato será </w:t>
      </w:r>
      <w:r>
        <w:rPr>
          <w:color w:val="auto"/>
        </w:rPr>
        <w:t>global.</w:t>
      </w:r>
    </w:p>
    <w:p>
      <w:pPr>
        <w:pStyle w:val="Nvel01-SemNumerao"/>
        <w:rPr/>
      </w:pPr>
      <w:r>
        <w:rPr/>
        <w:t>Exigências de habilitação</w:t>
      </w:r>
    </w:p>
    <w:p>
      <w:pPr>
        <w:pStyle w:val="Nivel2"/>
        <w:numPr>
          <w:ilvl w:val="1"/>
          <w:numId w:val="1"/>
        </w:numPr>
        <w:ind w:hanging="0" w:left="0"/>
        <w:rPr/>
      </w:pPr>
      <w:r>
        <w:rPr/>
        <w:t>Para fins de habilitação, deverá o licitante comprovar os seguintes requisitos:</w:t>
      </w:r>
    </w:p>
    <w:p>
      <w:pPr>
        <w:pStyle w:val="Nvel01-SemNumerao"/>
        <w:rPr/>
      </w:pPr>
      <w:r>
        <w:rPr/>
        <w:t>Habilitação jurídica</w:t>
      </w:r>
    </w:p>
    <w:p>
      <w:pPr>
        <w:pStyle w:val="Nivel2"/>
        <w:numPr>
          <w:ilvl w:val="1"/>
          <w:numId w:val="1"/>
        </w:numPr>
        <w:ind w:hanging="0" w:left="0"/>
        <w:rPr/>
      </w:pPr>
      <w:bookmarkStart w:id="2" w:name="_Ref115800561"/>
      <w:r>
        <w:rPr>
          <w:b/>
          <w:bCs/>
        </w:rPr>
        <w:t>Pessoa física:</w:t>
      </w:r>
      <w:r>
        <w:rPr/>
        <w:t xml:space="preserve"> cédula de identidade (RG) ou documento equivalente que, por força de lei, tenha validade para fins de identificação em todo o território nacional;</w:t>
      </w:r>
      <w:bookmarkEnd w:id="2"/>
    </w:p>
    <w:p>
      <w:pPr>
        <w:pStyle w:val="Nivel2"/>
        <w:numPr>
          <w:ilvl w:val="1"/>
          <w:numId w:val="1"/>
        </w:numPr>
        <w:ind w:hanging="0" w:left="0"/>
        <w:rPr/>
      </w:pPr>
      <w:r>
        <w:rPr>
          <w:b/>
          <w:bCs/>
        </w:rPr>
        <w:t>Empresário individual</w:t>
      </w:r>
      <w:r>
        <w:rPr/>
        <w:t xml:space="preserve">: inscrição no Registro Público de Empresas Mercantis, a cargo da Junta Comercial da respectiva sede; </w:t>
      </w:r>
    </w:p>
    <w:p>
      <w:pPr>
        <w:pStyle w:val="Nivel2"/>
        <w:numPr>
          <w:ilvl w:val="1"/>
          <w:numId w:val="1"/>
        </w:numPr>
        <w:ind w:hanging="0" w:left="0"/>
        <w:rPr/>
      </w:pPr>
      <w:r>
        <w:rPr>
          <w:b/>
          <w:bCs/>
        </w:rPr>
        <w:t>Microempreendedor Individual - MEI</w:t>
      </w:r>
      <w:r>
        <w:rPr/>
        <w:t xml:space="preserve">: Certificado da Condição de Microempreendedor Individual - CCMEI, cuja aceitação ficará condicionada à verificação da autenticidade no sítio </w:t>
      </w:r>
      <w:hyperlink r:id="rId6">
        <w:r>
          <w:rPr>
            <w:rStyle w:val="Hyperlink"/>
          </w:rPr>
          <w:t>https://www.gov.br/empresas-e-negocios/pt-br/empreendedor</w:t>
        </w:r>
      </w:hyperlink>
      <w:r>
        <w:rPr/>
        <w:t>;</w:t>
      </w:r>
    </w:p>
    <w:p>
      <w:pPr>
        <w:pStyle w:val="Nivel2"/>
        <w:numPr>
          <w:ilvl w:val="1"/>
          <w:numId w:val="1"/>
        </w:numPr>
        <w:ind w:hanging="0" w:left="0"/>
        <w:rPr/>
      </w:pPr>
      <w:r>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pPr>
        <w:pStyle w:val="Nivel2"/>
        <w:numPr>
          <w:ilvl w:val="1"/>
          <w:numId w:val="1"/>
        </w:numPr>
        <w:ind w:hanging="0" w:left="0"/>
        <w:rPr/>
      </w:pPr>
      <w:r>
        <w:rPr>
          <w:b/>
          <w:bCs/>
        </w:rPr>
        <w:t>Sociedade empresária estrangeira</w:t>
      </w:r>
      <w:r>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pPr>
        <w:pStyle w:val="Nivel2"/>
        <w:numPr>
          <w:ilvl w:val="1"/>
          <w:numId w:val="1"/>
        </w:numPr>
        <w:ind w:hanging="0" w:left="0"/>
        <w:rPr/>
      </w:pPr>
      <w:r>
        <w:rPr>
          <w:b/>
          <w:bCs/>
        </w:rPr>
        <w:t>Sociedade simples</w:t>
      </w:r>
      <w:r>
        <w:rPr/>
        <w:t>: inscrição do ato constitutivo no Registro Civil de Pessoas Jurídicas do local de sua sede, acompanhada de documento comprobatório de seus administradores;</w:t>
      </w:r>
    </w:p>
    <w:p>
      <w:pPr>
        <w:pStyle w:val="Nivel2"/>
        <w:numPr>
          <w:ilvl w:val="1"/>
          <w:numId w:val="1"/>
        </w:numPr>
        <w:ind w:hanging="0" w:left="0"/>
        <w:rPr/>
      </w:pPr>
      <w:r>
        <w:rPr>
          <w:b/>
          <w:bCs/>
        </w:rPr>
        <w:t>Filial, sucursal ou agência de sociedade simples ou empresária</w:t>
      </w:r>
      <w:r>
        <w:rPr/>
        <w:t xml:space="preserve">: inscrição do ato constitutivo da filial, sucursal ou agência da sociedade simples ou empresária, respectivamente, no Registro Civil das Pessoas Jurídicas ou no Registro Público de Empresas </w:t>
      </w:r>
      <w:bookmarkStart w:id="3" w:name="_Int_ySfCXwr4"/>
      <w:r>
        <w:rPr/>
        <w:t>Mercantis onde</w:t>
      </w:r>
      <w:bookmarkEnd w:id="3"/>
      <w:r>
        <w:rPr/>
        <w:t xml:space="preserve"> opera, com averbação no Registro onde tem sede a matriz</w:t>
      </w:r>
    </w:p>
    <w:p>
      <w:pPr>
        <w:pStyle w:val="Nivel2"/>
        <w:numPr>
          <w:ilvl w:val="1"/>
          <w:numId w:val="1"/>
        </w:numPr>
        <w:ind w:hanging="0" w:left="0"/>
        <w:rPr/>
      </w:pPr>
      <w:r>
        <w:rPr/>
        <w:t>Os documentos apresentados deverão estar acompanhados de todas as alterações ou da consolidação respectiva.</w:t>
      </w:r>
    </w:p>
    <w:p>
      <w:pPr>
        <w:pStyle w:val="Nvel01-SemNumerao"/>
        <w:rPr/>
      </w:pPr>
      <w:r>
        <w:rPr/>
        <w:t>Habilitação fiscal, social e trabalhista</w:t>
      </w:r>
    </w:p>
    <w:p>
      <w:pPr>
        <w:pStyle w:val="Nivel2"/>
        <w:numPr>
          <w:ilvl w:val="1"/>
          <w:numId w:val="1"/>
        </w:numPr>
        <w:ind w:hanging="0" w:left="0"/>
        <w:rPr/>
      </w:pPr>
      <w:r>
        <w:rPr/>
        <w:t>Prova de inscrição no Cadastro Nacional de Pessoas Jurídicas ou no Cadastro de Pessoas Físicas, conforme o caso;</w:t>
      </w:r>
    </w:p>
    <w:p>
      <w:pPr>
        <w:pStyle w:val="Nivel2"/>
        <w:numPr>
          <w:ilvl w:val="1"/>
          <w:numId w:val="1"/>
        </w:numPr>
        <w:ind w:hanging="0" w:left="0"/>
        <w:rPr/>
      </w:pPr>
      <w: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Nivel2"/>
        <w:numPr>
          <w:ilvl w:val="1"/>
          <w:numId w:val="1"/>
        </w:numPr>
        <w:ind w:hanging="0" w:left="0"/>
        <w:rPr/>
      </w:pPr>
      <w:r>
        <w:rPr/>
        <w:t>Prova de regularidade com o Fundo de Garantia do Tempo de Serviço (FGTS);</w:t>
      </w:r>
    </w:p>
    <w:p>
      <w:pPr>
        <w:pStyle w:val="Nivel2"/>
        <w:numPr>
          <w:ilvl w:val="1"/>
          <w:numId w:val="1"/>
        </w:numPr>
        <w:ind w:hanging="0" w:left="0"/>
        <w:rPr/>
      </w:pPr>
      <w:r>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7">
        <w:r>
          <w:rPr>
            <w:rStyle w:val="Hyperlink"/>
          </w:rPr>
          <w:t>Decreto-Lei nº 5.452, de 1º de maio de 1943;</w:t>
        </w:r>
      </w:hyperlink>
    </w:p>
    <w:p>
      <w:pPr>
        <w:pStyle w:val="Nivel2"/>
        <w:numPr>
          <w:ilvl w:val="1"/>
          <w:numId w:val="1"/>
        </w:numPr>
        <w:ind w:hanging="0" w:left="0"/>
        <w:rPr>
          <w:color w:val="auto"/>
        </w:rPr>
      </w:pPr>
      <w:r>
        <w:rPr/>
        <w:t xml:space="preserve">Prova de inscrição no cadastro de contribuintes </w:t>
      </w:r>
      <w:r>
        <w:rPr>
          <w:i/>
          <w:iCs/>
          <w:color w:val="auto"/>
        </w:rPr>
        <w:t>[Estadual/Distrital]</w:t>
      </w:r>
      <w:r>
        <w:rPr>
          <w:color w:val="auto"/>
        </w:rPr>
        <w:t xml:space="preserve"> ou </w:t>
      </w:r>
      <w:r>
        <w:rPr>
          <w:i/>
          <w:iCs/>
          <w:color w:val="auto"/>
        </w:rPr>
        <w:t>[Municipal/Distrital]</w:t>
      </w:r>
      <w:r>
        <w:rPr>
          <w:color w:val="auto"/>
        </w:rPr>
        <w:t xml:space="preserve"> relativo ao domicílio ou sede do fornecedor, pertinente ao seu</w:t>
      </w:r>
      <w:bookmarkStart w:id="4" w:name="_GoBack"/>
      <w:bookmarkEnd w:id="4"/>
      <w:r>
        <w:rPr>
          <w:color w:val="auto"/>
        </w:rPr>
        <w:t xml:space="preserve"> ramo de atividade e compatível com o objeto contratual; </w:t>
      </w:r>
    </w:p>
    <w:p>
      <w:pPr>
        <w:pStyle w:val="Nivel2"/>
        <w:numPr>
          <w:ilvl w:val="1"/>
          <w:numId w:val="1"/>
        </w:numPr>
        <w:ind w:hanging="0" w:left="0"/>
        <w:rPr>
          <w:color w:val="auto"/>
        </w:rPr>
      </w:pPr>
      <w:r>
        <w:rPr>
          <w:color w:val="auto"/>
        </w:rPr>
        <w:t xml:space="preserve">Prova de regularidade com a Fazenda </w:t>
      </w:r>
      <w:r>
        <w:rPr>
          <w:i/>
          <w:iCs/>
          <w:color w:val="auto"/>
        </w:rPr>
        <w:t>[Estadual/Distrital] ou [Municipal/Distrital]</w:t>
      </w:r>
      <w:r>
        <w:rPr>
          <w:color w:val="auto"/>
        </w:rPr>
        <w:t xml:space="preserve"> do domicílio ou sede do fornecedor, relativa à atividade em cujo exercício contrata ou concorre;</w:t>
      </w:r>
    </w:p>
    <w:p>
      <w:pPr>
        <w:pStyle w:val="Nivel2"/>
        <w:numPr>
          <w:ilvl w:val="1"/>
          <w:numId w:val="1"/>
        </w:numPr>
        <w:ind w:hanging="0" w:left="0"/>
        <w:rPr/>
      </w:pPr>
      <w:r>
        <w:rPr>
          <w:color w:val="auto"/>
        </w:rPr>
        <w:t xml:space="preserve">Caso o fornecedor seja considerado isento dos tributos </w:t>
      </w:r>
      <w:r>
        <w:rPr>
          <w:i/>
          <w:iCs/>
          <w:color w:val="auto"/>
        </w:rPr>
        <w:t>[Estadual/Distrital]</w:t>
      </w:r>
      <w:r>
        <w:rPr>
          <w:color w:val="auto"/>
        </w:rPr>
        <w:t xml:space="preserve"> ou </w:t>
      </w:r>
      <w:r>
        <w:rPr>
          <w:i/>
          <w:iCs/>
          <w:color w:val="auto"/>
        </w:rPr>
        <w:t>[Municipal/Distrital]</w:t>
      </w:r>
      <w:r>
        <w:rPr>
          <w:color w:val="auto"/>
        </w:rPr>
        <w:t xml:space="preserve"> </w:t>
      </w:r>
      <w:r>
        <w:rPr/>
        <w:t>relacionados ao objeto contratual, deverá comprovar tal condição mediante a apresentação de declaração da Fazenda respectiva do seu domicílio ou sede, ou outra equivalente, na forma da lei.</w:t>
      </w:r>
    </w:p>
    <w:p>
      <w:pPr>
        <w:pStyle w:val="Nivel2"/>
        <w:numPr>
          <w:ilvl w:val="1"/>
          <w:numId w:val="1"/>
        </w:numPr>
        <w:ind w:hanging="0" w:left="0"/>
        <w:rPr/>
      </w:pPr>
      <w:bookmarkStart w:id="5" w:name="_Hlk121934117"/>
      <w:r>
        <w:rPr/>
        <w:t>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5"/>
    </w:p>
    <w:p>
      <w:pPr>
        <w:pStyle w:val="Nvel01-SemNumerao"/>
        <w:rPr/>
      </w:pPr>
      <w:r>
        <w:rPr/>
        <w:t>Qualificação Econômico-Financeira</w:t>
      </w:r>
    </w:p>
    <w:p>
      <w:pPr>
        <w:pStyle w:val="Nivel2"/>
        <w:numPr>
          <w:ilvl w:val="1"/>
          <w:numId w:val="1"/>
        </w:numPr>
        <w:ind w:hanging="0" w:left="0"/>
        <w:rPr/>
      </w:pPr>
      <w:r>
        <w:rPr/>
        <w:t xml:space="preserve">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 </w:t>
      </w:r>
    </w:p>
    <w:p>
      <w:pPr>
        <w:pStyle w:val="Nivel2"/>
        <w:numPr>
          <w:ilvl w:val="1"/>
          <w:numId w:val="1"/>
        </w:numPr>
        <w:ind w:hanging="0" w:left="0"/>
        <w:rPr/>
      </w:pPr>
      <w:r>
        <w:rPr/>
        <w:t xml:space="preserve">certidão negativa de falência expedida pelo distribuidor da sede do fornecedor - Lei nº 14.133, de 2021, art. 69, </w:t>
      </w:r>
      <w:r>
        <w:rPr>
          <w:i/>
          <w:iCs/>
        </w:rPr>
        <w:t>caput</w:t>
      </w:r>
      <w:r>
        <w:rPr/>
        <w:t>, inciso II);</w:t>
      </w:r>
    </w:p>
    <w:p>
      <w:pPr>
        <w:pStyle w:val="Nivel2"/>
        <w:numPr>
          <w:ilvl w:val="1"/>
          <w:numId w:val="1"/>
        </w:numPr>
        <w:ind w:hanging="0" w:left="0"/>
        <w:rPr>
          <w:rStyle w:val="Eop"/>
        </w:rPr>
      </w:pPr>
      <w:r>
        <w:rPr>
          <w:rStyle w:val="Normaltextrun"/>
        </w:rPr>
        <w:t>Balanço patrimonial, demonstração de resultado de exercício e demais demonstrações contábeis dos 2 (dois) últimos exercícios sociais, comprovando: </w:t>
      </w:r>
    </w:p>
    <w:p>
      <w:pPr>
        <w:pStyle w:val="Nivel3"/>
        <w:numPr>
          <w:ilvl w:val="2"/>
          <w:numId w:val="1"/>
        </w:numPr>
        <w:ind w:hanging="0" w:left="284"/>
        <w:rPr>
          <w:rStyle w:val="Normaltextrun"/>
        </w:rPr>
      </w:pPr>
      <w:r>
        <w:rPr>
          <w:rStyle w:val="Normaltextrun"/>
        </w:rPr>
        <w:t xml:space="preserve">índices de Liquidez Geral (LG), Liquidez Corrente (LC), e Solvência Geral (SG) superiores a 1 (um); </w:t>
      </w:r>
    </w:p>
    <w:p>
      <w:pPr>
        <w:pStyle w:val="Nivel3"/>
        <w:numPr>
          <w:ilvl w:val="2"/>
          <w:numId w:val="1"/>
        </w:numPr>
        <w:ind w:hanging="0" w:left="284"/>
        <w:rPr>
          <w:rStyle w:val="Normaltextrun"/>
        </w:rPr>
      </w:pPr>
      <w:r>
        <w:rPr>
          <w:rStyle w:val="Normaltextrun"/>
        </w:rPr>
        <w:t>As empresas criadas no exercício financeiro da licitação deverão atender a todas as exigências da habilitação e poderão substituir os demonstrativos contábeis pelo balanço de abertura; e</w:t>
      </w:r>
    </w:p>
    <w:p>
      <w:pPr>
        <w:pStyle w:val="Nivel3"/>
        <w:numPr>
          <w:ilvl w:val="2"/>
          <w:numId w:val="1"/>
        </w:numPr>
        <w:ind w:hanging="0" w:left="284"/>
        <w:rPr>
          <w:rStyle w:val="Eop"/>
        </w:rPr>
      </w:pPr>
      <w:r>
        <w:rPr>
          <w:rStyle w:val="Normaltextrun"/>
        </w:rPr>
        <w:t>Os documentos referidos acima limitar-se-ão ao último exercício no caso de a pessoa jurídica ter sido constituída há menos de 2 (dois) anos.</w:t>
      </w:r>
      <w:r>
        <w:rPr>
          <w:rStyle w:val="Eop"/>
        </w:rPr>
        <w:t> </w:t>
      </w:r>
    </w:p>
    <w:p>
      <w:pPr>
        <w:pStyle w:val="Nivel3"/>
        <w:numPr>
          <w:ilvl w:val="2"/>
          <w:numId w:val="1"/>
        </w:numPr>
        <w:ind w:hanging="0" w:left="284"/>
        <w:rPr>
          <w:rStyle w:val="Eop"/>
          <w:rFonts w:eastAsia="MS Mincho"/>
          <w:color w:themeColor="text1" w:val="000000"/>
        </w:rPr>
      </w:pPr>
      <w:r>
        <w:rPr>
          <w:rStyle w:val="Eop"/>
          <w:rFonts w:eastAsia="MS Mincho"/>
          <w:color w:themeColor="text1" w:val="000000"/>
        </w:rPr>
        <w:t xml:space="preserve">Os documentos referidos acima deverão ser exigidos com base no limite definido pela Receita Federal do Brasil para transmissão da Escrituração Contábil Digital - ECD ao Sped.  </w:t>
      </w:r>
    </w:p>
    <w:p>
      <w:pPr>
        <w:pStyle w:val="Nivel2"/>
        <w:numPr>
          <w:ilvl w:val="1"/>
          <w:numId w:val="1"/>
        </w:numPr>
        <w:ind w:hanging="0" w:left="0"/>
        <w:rPr/>
      </w:pPr>
      <w:r>
        <w:rPr/>
        <w:t xml:space="preserve">Caso a empresa licitante apresente resultado inferior ou igual a 1 (um) em qualquer dos índices de Liquidez Geral (LG), Solvência Geral (SG) e Liquidez Corrente (LC), será exigido para fins de habilitação </w:t>
      </w:r>
      <w:r>
        <w:rPr>
          <w:color w:val="auto"/>
        </w:rPr>
        <w:t>patrimônio líquido mínimo de 10 % do valor total estimado da contratação.</w:t>
      </w:r>
    </w:p>
    <w:p>
      <w:pPr>
        <w:pStyle w:val="Nivel2"/>
        <w:numPr>
          <w:ilvl w:val="1"/>
          <w:numId w:val="1"/>
        </w:numPr>
        <w:ind w:hanging="0" w:left="0"/>
        <w:rPr/>
      </w:pPr>
      <w:r>
        <w:rPr/>
        <w:t>As empresas criadas no exercício financeiro da licitação deverão atender a todas as exigências da habilitação e poderão substituir os demonstrativos contábeis pelo balanço de abertura. (Lei nº 14.133, de 2021, art. 65, §1º).</w:t>
      </w:r>
    </w:p>
    <w:p>
      <w:pPr>
        <w:pStyle w:val="Nvel2-Red"/>
        <w:numPr>
          <w:ilvl w:val="1"/>
          <w:numId w:val="1"/>
        </w:numPr>
        <w:ind w:hanging="0" w:left="0"/>
        <w:rPr/>
      </w:pPr>
      <w:r>
        <w:rPr/>
        <w:t>O atendimento dos índices econômicos previstos neste item deverá ser atestado mediante declaração assinada por profissional habilitado da área contábil, apresentada pelo fornecedor.</w:t>
      </w:r>
    </w:p>
    <w:p>
      <w:pPr>
        <w:pStyle w:val="Nvel01-SemNumerao"/>
        <w:rPr/>
      </w:pPr>
      <w:r>
        <w:rPr/>
        <w:t>Qualificação Técnica</w:t>
      </w:r>
    </w:p>
    <w:p>
      <w:pPr>
        <w:pStyle w:val="Nvel2-Red"/>
        <w:numPr>
          <w:ilvl w:val="1"/>
          <w:numId w:val="1"/>
        </w:numPr>
        <w:ind w:hanging="0" w:left="0"/>
        <w:rPr/>
      </w:pPr>
      <w:r>
        <w:rPr/>
        <w:t>Declaração de que o licitante tomou conhecimento de todas as informações e das condições locais para o cumprimento das obrigações objeto da licitação;</w:t>
      </w:r>
    </w:p>
    <w:p>
      <w:pPr>
        <w:pStyle w:val="Nvel2-Red"/>
        <w:numPr>
          <w:ilvl w:val="1"/>
          <w:numId w:val="1"/>
        </w:numPr>
        <w:ind w:hanging="0" w:left="0"/>
        <w:rPr/>
      </w:pPr>
      <w:r>
        <w:rPr/>
        <w:t>A declaração acima poderá ser substituída por declaração formal assinada pelo responsável técnico do licitante acerca do conhecimento pleno das condições e peculiaridades da contratação.</w:t>
      </w:r>
    </w:p>
    <w:p>
      <w:pPr>
        <w:pStyle w:val="Nvel2-Red"/>
        <w:numPr>
          <w:ilvl w:val="1"/>
          <w:numId w:val="1"/>
        </w:numPr>
        <w:ind w:hanging="0" w:left="0"/>
        <w:rPr/>
      </w:pPr>
      <w:r>
        <w:rPr/>
        <w:t>Registro ou inscrição da empresa na entidade profissional competente na ANVISA, em plena validade;</w:t>
      </w:r>
    </w:p>
    <w:p>
      <w:pPr>
        <w:pStyle w:val="Nvel3-R"/>
        <w:numPr>
          <w:ilvl w:val="2"/>
          <w:numId w:val="1"/>
        </w:numPr>
        <w:ind w:hanging="0" w:left="284"/>
        <w:rPr/>
      </w:pPr>
      <w:r>
        <w:rPr/>
        <w:t>Sociedades empresárias estrangeiras atenderão à exigência por meio da apresentação, no momento da assinatura do contrato, da solicitação de registro perante a entidade profissional competente no Brasil.</w:t>
      </w:r>
    </w:p>
    <w:p>
      <w:pPr>
        <w:pStyle w:val="Nvel2-Red"/>
        <w:numPr>
          <w:ilvl w:val="1"/>
          <w:numId w:val="1"/>
        </w:numPr>
        <w:ind w:hanging="0" w:left="0"/>
        <w:rPr/>
      </w:pPr>
      <w:r>
        <w:rPr/>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pPr>
        <w:pStyle w:val="Nvel3-R"/>
        <w:numPr>
          <w:ilvl w:val="2"/>
          <w:numId w:val="1"/>
        </w:numPr>
        <w:ind w:hanging="0" w:left="284"/>
        <w:rPr/>
      </w:pPr>
      <w:r>
        <w:rPr/>
        <w:t>Será admitida, para fins de comprovação de quantitativo mínimo, a apresentação e o somatório de diferentes atestados executados de forma concomitante.</w:t>
      </w:r>
    </w:p>
    <w:p>
      <w:pPr>
        <w:pStyle w:val="Nvel3-R"/>
        <w:numPr>
          <w:ilvl w:val="2"/>
          <w:numId w:val="1"/>
        </w:numPr>
        <w:ind w:hanging="0" w:left="284"/>
        <w:rPr/>
      </w:pPr>
      <w:r>
        <w:rPr/>
        <w:t>Os atestados de capacidade técnica poderão ser apresentados em nome da matriz ou da filial da empresa licitante.</w:t>
      </w:r>
    </w:p>
    <w:p>
      <w:pPr>
        <w:pStyle w:val="Nvel3-R"/>
        <w:numPr>
          <w:ilvl w:val="2"/>
          <w:numId w:val="1"/>
        </w:numPr>
        <w:ind w:hanging="0" w:left="284"/>
        <w:rPr/>
      </w:pPr>
      <w:bookmarkStart w:id="6" w:name="_Hlk82473550"/>
      <w:r>
        <w:rPr/>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bookmarkEnd w:id="6"/>
    </w:p>
    <w:p>
      <w:pPr>
        <w:pStyle w:val="Nivel01"/>
        <w:numPr>
          <w:ilvl w:val="0"/>
          <w:numId w:val="1"/>
        </w:numPr>
        <w:ind w:hanging="0" w:left="0"/>
        <w:rPr/>
      </w:pPr>
      <w:r>
        <w:rPr/>
        <w:t>ESTIMATIVAS DO VALOR DA CONTRATAÇÃO</w:t>
      </w:r>
    </w:p>
    <w:p>
      <w:pPr>
        <w:pStyle w:val="Nivel2"/>
        <w:numPr>
          <w:ilvl w:val="1"/>
          <w:numId w:val="1"/>
        </w:numPr>
        <w:ind w:hanging="0" w:left="0"/>
        <w:rPr>
          <w:b/>
          <w:bCs/>
        </w:rPr>
      </w:pPr>
      <w:r>
        <w:rPr/>
        <w:t>O custo estimado total da contratação é de R$ 22.543,91(vinte e dois mil, quinhentos e quarenta e três reais e noventa e um centavos), conforme custos unitários apostos na tabela acima</w:t>
      </w:r>
      <w:r>
        <w:rPr>
          <w:i/>
        </w:rPr>
        <w:t>.</w:t>
      </w:r>
    </w:p>
    <w:p>
      <w:pPr>
        <w:pStyle w:val="Nivel01"/>
        <w:numPr>
          <w:ilvl w:val="0"/>
          <w:numId w:val="1"/>
        </w:numPr>
        <w:ind w:hanging="0" w:left="0"/>
        <w:rPr/>
      </w:pPr>
      <w:r>
        <w:rPr/>
        <w:t>ADEQUAÇÃO ORÇAMENTÁRIA</w:t>
      </w:r>
    </w:p>
    <w:p>
      <w:pPr>
        <w:pStyle w:val="Nivel2"/>
        <w:numPr>
          <w:ilvl w:val="1"/>
          <w:numId w:val="1"/>
        </w:numPr>
        <w:ind w:hanging="0" w:left="0"/>
        <w:rPr/>
      </w:pPr>
      <w:r>
        <w:rPr/>
        <w:t>As despesas decorrentes da presente contratação correrão à conta de recursos específicos consignados no Orçamento Geral da União.</w:t>
      </w:r>
    </w:p>
    <w:p>
      <w:pPr>
        <w:pStyle w:val="Nvel2-Red"/>
        <w:numPr>
          <w:ilvl w:val="1"/>
          <w:numId w:val="1"/>
        </w:numPr>
        <w:ind w:hanging="0" w:left="0"/>
        <w:rPr/>
      </w:pPr>
      <w:bookmarkStart w:id="7" w:name="_Hlk82471863"/>
      <w:r>
        <w:rPr/>
        <w:t>A dotação relativa aos exercícios financeiros subsequentes será indicada após aprovação da Lei Orçamentária respectiva e liberação dos créditos correspondentes, mediante apostilamento.</w:t>
      </w:r>
      <w:bookmarkEnd w:id="7"/>
    </w:p>
    <w:p>
      <w:pPr>
        <w:pStyle w:val="Nivel2"/>
        <w:numPr>
          <w:ilvl w:val="0"/>
          <w:numId w:val="0"/>
        </w:numPr>
        <w:ind w:hanging="0" w:left="709"/>
        <w:rPr/>
      </w:pPr>
      <w:r>
        <w:rPr/>
      </w:r>
    </w:p>
    <w:p>
      <w:pPr>
        <w:pStyle w:val="Normal"/>
        <w:spacing w:before="0" w:after="360"/>
        <w:ind w:left="360"/>
        <w:jc w:val="center"/>
        <w:rPr>
          <w:rFonts w:cs="Arial"/>
          <w:szCs w:val="20"/>
        </w:rPr>
      </w:pPr>
      <w:r>
        <w:rPr>
          <w:rFonts w:cs="Arial"/>
          <w:szCs w:val="20"/>
        </w:rPr>
        <w:t>Campinas-SP, 29 de janeiro de 2024.</w:t>
      </w:r>
    </w:p>
    <w:p>
      <w:pPr>
        <w:pStyle w:val="Normal"/>
        <w:spacing w:before="0" w:after="360"/>
        <w:ind w:left="360"/>
        <w:rPr>
          <w:rFonts w:cs="Arial"/>
          <w:szCs w:val="20"/>
        </w:rPr>
      </w:pPr>
      <w:r>
        <w:rPr>
          <w:rFonts w:cs="Arial"/>
          <w:szCs w:val="20"/>
        </w:rPr>
      </w:r>
    </w:p>
    <w:p>
      <w:pPr>
        <w:pStyle w:val="Normal"/>
        <w:spacing w:lineRule="auto" w:line="276"/>
        <w:ind w:left="360"/>
        <w:jc w:val="center"/>
        <w:rPr>
          <w:color w:val="auto"/>
        </w:rPr>
      </w:pPr>
      <w:r>
        <w:rPr>
          <w:rFonts w:cs="Arial" w:ascii="Arial" w:hAnsi="Arial"/>
          <w:color w:val="auto"/>
          <w:sz w:val="20"/>
          <w:szCs w:val="20"/>
        </w:rPr>
        <w:t>ORIGINAL ASSINADO</w:t>
      </w:r>
    </w:p>
    <w:p>
      <w:pPr>
        <w:pStyle w:val="Normal"/>
        <w:spacing w:lineRule="auto" w:line="276"/>
        <w:ind w:left="360"/>
        <w:jc w:val="center"/>
        <w:rPr>
          <w:b/>
          <w:bCs/>
        </w:rPr>
      </w:pPr>
      <w:r>
        <w:rPr>
          <w:rFonts w:cs="Arial" w:ascii="Arial" w:hAnsi="Arial"/>
          <w:b/>
          <w:bCs/>
          <w:sz w:val="20"/>
          <w:szCs w:val="20"/>
          <w:u w:val="single"/>
        </w:rPr>
        <w:t>MARIA CRISTINA</w:t>
      </w:r>
      <w:r>
        <w:rPr>
          <w:rFonts w:cs="Arial" w:ascii="Arial" w:hAnsi="Arial"/>
          <w:b/>
          <w:bCs/>
          <w:sz w:val="20"/>
          <w:szCs w:val="20"/>
        </w:rPr>
        <w:t xml:space="preserve"> ANDRADE DE ARAÚJO – Cap</w:t>
      </w:r>
    </w:p>
    <w:p>
      <w:pPr>
        <w:pStyle w:val="Normal"/>
        <w:spacing w:lineRule="auto" w:line="276"/>
        <w:ind w:left="360"/>
        <w:jc w:val="center"/>
        <w:rPr>
          <w:rFonts w:ascii="Arial" w:hAnsi="Arial" w:cs="Arial"/>
          <w:sz w:val="20"/>
          <w:szCs w:val="20"/>
        </w:rPr>
      </w:pPr>
      <w:r>
        <w:rPr>
          <w:rFonts w:cs="Arial" w:ascii="Arial" w:hAnsi="Arial"/>
          <w:sz w:val="20"/>
          <w:szCs w:val="20"/>
        </w:rPr>
        <w:t>Chefe do LAC do Posto Médico de Guarnição de Campinas / 11ª Bda Inf Mec</w:t>
      </w:r>
    </w:p>
    <w:p>
      <w:pPr>
        <w:pStyle w:val="Nivel2"/>
        <w:numPr>
          <w:ilvl w:val="0"/>
          <w:numId w:val="0"/>
        </w:numPr>
        <w:spacing w:before="120" w:after="120"/>
        <w:ind w:hanging="0" w:left="709"/>
        <w:rPr/>
      </w:pPr>
      <w:r>
        <w:rPr/>
      </w:r>
    </w:p>
    <w:sectPr>
      <w:headerReference w:type="default" r:id="rId8"/>
      <w:footerReference w:type="default" r:id="rId9"/>
      <w:type w:val="nextPage"/>
      <w:pgSz w:w="11906" w:h="16838"/>
      <w:pgMar w:left="1134" w:right="1134" w:gutter="0" w:header="709"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Rawline">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16111550"/>
    </w:sdtPr>
    <w:sdtContent>
      <w:p>
        <w:pPr>
          <w:pStyle w:val="Footer"/>
          <w:rPr>
            <w:rFonts w:ascii="Arial" w:hAnsi="Arial" w:cs="Arial"/>
            <w:color w:themeColor="text2" w:themeTint="99" w:val="548DD4"/>
            <w:spacing w:val="60"/>
            <w:sz w:val="16"/>
            <w:szCs w:val="16"/>
          </w:rPr>
        </w:pPr>
        <w:r>
          <w:rPr>
            <w:rFonts w:cs="Arial" w:ascii="Arial" w:hAnsi="Arial"/>
            <w:color w:themeColor="text2" w:themeTint="99" w:val="548DD4"/>
            <w:spacing w:val="60"/>
            <w:sz w:val="22"/>
            <w:szCs w:val="22"/>
          </w:rPr>
          <w:tab/>
          <w:tab/>
        </w:r>
      </w:p>
      <w:p>
        <w:pPr>
          <w:pStyle w:val="Footer"/>
          <w:rPr>
            <w:rFonts w:ascii="Arial" w:hAnsi="Arial" w:cs="Arial"/>
            <w:color w:themeColor="text1" w:themeTint="80" w:val="7F7F7F"/>
            <w:sz w:val="18"/>
            <w:szCs w:val="18"/>
          </w:rPr>
        </w:pPr>
        <w:r>
          <w:rPr>
            <w:rFonts w:cs="Arial" w:ascii="Arial" w:hAnsi="Arial"/>
            <w:color w:themeColor="text1" w:themeTint="80" w:val="7F7F7F"/>
            <w:spacing w:val="60"/>
            <w:sz w:val="22"/>
            <w:szCs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13</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13</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sz w:val="14"/>
            <w:szCs w:val="14"/>
          </w:rPr>
        </w:pPr>
        <w:r>
          <w:rPr>
            <w:rFonts w:cs="Arial" w:ascii="Arial" w:hAnsi="Arial"/>
            <w:sz w:val="14"/>
            <w:szCs w:val="14"/>
          </w:rPr>
          <w:t>Atualização: maio/2023</w:t>
        </w:r>
      </w:p>
      <w:p>
        <w:pPr>
          <w:pStyle w:val="Footer"/>
          <w:rPr>
            <w:rFonts w:ascii="Arial" w:hAnsi="Arial" w:cs="Arial"/>
            <w:color w:themeColor="text2" w:themeShade="80" w:val="0F243E"/>
            <w:sz w:val="14"/>
            <w:szCs w:val="14"/>
          </w:rPr>
        </w:pPr>
        <w:r>
          <w:rPr>
            <w:rFonts w:cs="Arial" w:ascii="Arial" w:hAnsi="Arial"/>
            <w:sz w:val="14"/>
            <w:szCs w:val="14"/>
          </w:rPr>
          <w:t>Termo de Referência contratação de Serviços – Licitação - Modelo para Pregão Eletrônico</w:t>
          <w:tab/>
          <w:tab/>
        </w:r>
      </w:p>
      <w:p>
        <w:pPr>
          <w:pStyle w:val="Footer"/>
          <w:rPr>
            <w:rFonts w:ascii="Arial" w:hAnsi="Arial" w:cs="Arial"/>
            <w:sz w:val="14"/>
            <w:szCs w:val="14"/>
          </w:rPr>
        </w:pPr>
        <w:r>
          <w:rPr>
            <w:rFonts w:cs="Arial" w:ascii="Arial" w:hAnsi="Arial"/>
            <w:sz w:val="14"/>
            <w:szCs w:val="14"/>
          </w:rPr>
          <w:t>Aprovado pela Secretaria de Gestão.</w:t>
        </w:r>
      </w:p>
      <w:p>
        <w:pPr>
          <w:pStyle w:val="Footer"/>
          <w:rPr>
            <w:rFonts w:ascii="Arial" w:hAnsi="Arial" w:cs="Arial"/>
            <w:sz w:val="12"/>
            <w:szCs w:val="12"/>
          </w:rPr>
        </w:pPr>
        <w:r>
          <w:rPr>
            <w:rFonts w:cs="Arial" w:ascii="Arial" w:hAnsi="Arial"/>
            <w:sz w:val="14"/>
            <w:szCs w:val="14"/>
          </w:rPr>
          <w:t>Identidade visual pela Secretaria de Gestão (versão dezembro/2022)</w:t>
        </w:r>
      </w:p>
    </w:sdtContent>
  </w:sdt>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Rawline" w:hAnsi="Rawline"/>
        <w:sz w:val="20"/>
        <w:szCs w:val="20"/>
      </w:rPr>
    </w:pPr>
    <w:r>
      <w:rPr>
        <w:rFonts w:ascii="Rawline" w:hAnsi="Rawline"/>
        <w:sz w:val="20"/>
        <w:szCs w:val="20"/>
      </w:rPr>
      <w:t>TERMO DE REFERÊNCIA – SERVIÇOS SEM DEDICAÇÃO EXCLUSIVA DE MÃO-DE-OBRA - LICITAÇÃO</w:t>
    </w:r>
  </w:p>
  <w:p>
    <w:pPr>
      <w:pStyle w:val="Header"/>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upperRoman"/>
      <w:lvlText w:val="%1)"/>
      <w:lvlJc w:val="left"/>
      <w:pPr>
        <w:tabs>
          <w:tab w:val="num" w:pos="0"/>
        </w:tabs>
        <w:ind w:left="3555" w:hanging="720"/>
      </w:pPr>
      <w:rPr/>
    </w:lvl>
    <w:lvl w:ilvl="1">
      <w:start w:val="1"/>
      <w:numFmt w:val="lowerLetter"/>
      <w:lvlText w:val="%2."/>
      <w:lvlJc w:val="left"/>
      <w:pPr>
        <w:tabs>
          <w:tab w:val="num" w:pos="0"/>
        </w:tabs>
        <w:ind w:left="3915" w:hanging="360"/>
      </w:pPr>
      <w:rPr/>
    </w:lvl>
    <w:lvl w:ilvl="2">
      <w:start w:val="1"/>
      <w:numFmt w:val="lowerRoman"/>
      <w:lvlText w:val="%3."/>
      <w:lvlJc w:val="right"/>
      <w:pPr>
        <w:tabs>
          <w:tab w:val="num" w:pos="0"/>
        </w:tabs>
        <w:ind w:left="4635" w:hanging="180"/>
      </w:pPr>
      <w:rPr/>
    </w:lvl>
    <w:lvl w:ilvl="3">
      <w:start w:val="1"/>
      <w:numFmt w:val="decimal"/>
      <w:lvlText w:val="%4."/>
      <w:lvlJc w:val="left"/>
      <w:pPr>
        <w:tabs>
          <w:tab w:val="num" w:pos="0"/>
        </w:tabs>
        <w:ind w:left="5355" w:hanging="360"/>
      </w:pPr>
      <w:rPr/>
    </w:lvl>
    <w:lvl w:ilvl="4">
      <w:start w:val="1"/>
      <w:numFmt w:val="lowerLetter"/>
      <w:lvlText w:val="%5."/>
      <w:lvlJc w:val="left"/>
      <w:pPr>
        <w:tabs>
          <w:tab w:val="num" w:pos="0"/>
        </w:tabs>
        <w:ind w:left="6075" w:hanging="360"/>
      </w:pPr>
      <w:rPr/>
    </w:lvl>
    <w:lvl w:ilvl="5">
      <w:start w:val="1"/>
      <w:numFmt w:val="lowerRoman"/>
      <w:lvlText w:val="%6."/>
      <w:lvlJc w:val="right"/>
      <w:pPr>
        <w:tabs>
          <w:tab w:val="num" w:pos="0"/>
        </w:tabs>
        <w:ind w:left="6795" w:hanging="180"/>
      </w:pPr>
      <w:rPr/>
    </w:lvl>
    <w:lvl w:ilvl="6">
      <w:start w:val="1"/>
      <w:numFmt w:val="decimal"/>
      <w:lvlText w:val="%7."/>
      <w:lvlJc w:val="left"/>
      <w:pPr>
        <w:tabs>
          <w:tab w:val="num" w:pos="0"/>
        </w:tabs>
        <w:ind w:left="7515" w:hanging="360"/>
      </w:pPr>
      <w:rPr/>
    </w:lvl>
    <w:lvl w:ilvl="7">
      <w:start w:val="1"/>
      <w:numFmt w:val="lowerLetter"/>
      <w:lvlText w:val="%8."/>
      <w:lvlJc w:val="left"/>
      <w:pPr>
        <w:tabs>
          <w:tab w:val="num" w:pos="0"/>
        </w:tabs>
        <w:ind w:left="8235" w:hanging="360"/>
      </w:pPr>
      <w:rPr/>
    </w:lvl>
    <w:lvl w:ilvl="8">
      <w:start w:val="1"/>
      <w:numFmt w:val="lowerRoman"/>
      <w:lvlText w:val="%9."/>
      <w:lvlJc w:val="right"/>
      <w:pPr>
        <w:tabs>
          <w:tab w:val="num" w:pos="0"/>
        </w:tabs>
        <w:ind w:left="8955"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6"/>
      <w:numFmt w:val="decimal"/>
      <w:lvlText w:val="%1.%2.%3."/>
      <w:lvlJc w:val="left"/>
      <w:pPr>
        <w:tabs>
          <w:tab w:val="num" w:pos="0"/>
        </w:tabs>
        <w:ind w:left="1224" w:hanging="504"/>
      </w:pPr>
      <w:rPr>
        <w:rFonts w:ascii="Calibri" w:hAnsi="Calibri"/>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20"/>
  <w:mirrorMargins/>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1" w:defUnhideWhenUsed="1" w:defQFormat="0" w:count="267">
    <w:lsdException w:name="Normal" w:semiHidden="0" w:unhideWhenUsed="0"/>
    <w:lsdException w:name="heading 1" w:uiPriority="9"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uiPriority="22" w:semiHidden="0" w:unhideWhenUsed="0"/>
    <w:lsdException w:name="Emphasis" w:uiPriority="20" w:semiHidden="0" w:unhideWhenUsed="0"/>
    <w:lsdException w:name="Normal (Web)" w:uiPriority="99"/>
    <w:lsdException w:name="annotation subject" w:uiPriority="99"/>
    <w:lsdException w:name="No List" w:uiPriority="99"/>
    <w:lsdException w:name="Balloon Text" w:uiPriority="99"/>
    <w:lsdException w:name="Table Grid" w:uiPriority="39" w:semiHidden="0" w:unhideWhenUsed="0"/>
    <w:lsdException w:name="Placeholder Text" w:uiPriority="67" w:unhideWhenUsed="0"/>
    <w:lsdException w:name="No Spacing" w:uiPriority="68" w:semiHidden="0" w:unhideWhenUsed="0"/>
    <w:lsdException w:name="Light Shading" w:uiPriority="69" w:semiHidden="0" w:unhideWhenUsed="0"/>
    <w:lsdException w:name="Light List" w:uiPriority="70" w:semiHidden="0" w:unhideWhenUsed="0"/>
    <w:lsdException w:name="Light Grid" w:uiPriority="71" w:semiHidden="0" w:unhideWhenUsed="0"/>
    <w:lsdException w:name="Medium Shading 1" w:uiPriority="72" w:semiHidden="0" w:unhideWhenUsed="0"/>
    <w:lsdException w:name="Medium Shading 2" w:uiPriority="73" w:semiHidden="0" w:unhideWhenUsed="0"/>
    <w:lsdException w:name="Medium List 1" w:uiPriority="60" w:semiHidden="0" w:unhideWhenUsed="0"/>
    <w:lsdException w:name="Medium List 2" w:uiPriority="61" w:semiHidden="0" w:unhideWhenUsed="0"/>
    <w:lsdException w:name="Medium Grid 1" w:uiPriority="62" w:semiHidden="0" w:unhideWhenUsed="0"/>
    <w:lsdException w:name="Medium Grid 2" w:uiPriority="63" w:semiHidden="0" w:unhideWhenUsed="0"/>
    <w:lsdException w:name="Medium Grid 3" w:uiPriority="64" w:semiHidden="0" w:unhideWhenUsed="0"/>
    <w:lsdException w:name="Dark List" w:uiPriority="65" w:semiHidden="0" w:unhideWhenUsed="0"/>
    <w:lsdException w:name="Colorful Shading" w:uiPriority="99" w:semiHidden="0" w:unhideWhenUsed="0"/>
    <w:lsdException w:name="Colorful List" w:uiPriority="34" w:semiHidden="0" w:unhideWhenUsed="0" w:qFormat="1"/>
    <w:lsdException w:name="Colorful Grid" w:uiPriority="29" w:semiHidden="0" w:unhideWhenUsed="0" w:qFormat="1"/>
    <w:lsdException w:name="Light Shading Accent 1" w:uiPriority="30" w:semiHidden="0" w:unhideWhenUsed="0" w:qFormat="1"/>
    <w:lsdException w:name="Light List Accent 1" w:uiPriority="66" w:semiHidden="0" w:unhideWhenUsed="0"/>
    <w:lsdException w:name="Light Grid Accent 1" w:uiPriority="67" w:semiHidden="0" w:unhideWhenUsed="0"/>
    <w:lsdException w:name="Medium Shading 1 Accent 1" w:uiPriority="68" w:semiHidden="0" w:unhideWhenUsed="0"/>
    <w:lsdException w:name="Medium Shading 2 Accent 1" w:uiPriority="69" w:semiHidden="0" w:unhideWhenUsed="0"/>
    <w:lsdException w:name="Medium List 1 Accent 1" w:uiPriority="70" w:semiHidden="0" w:unhideWhenUsed="0"/>
    <w:lsdException w:name="Revision" w:uiPriority="99" w:unhideWhenUsed="0"/>
    <w:lsdException w:name="List Paragraph" w:uiPriority="34" w:semiHidden="0" w:unhideWhenUsed="0" w:qFormat="1"/>
    <w:lsdException w:name="Quote" w:uiPriority="29" w:semiHidden="0" w:unhideWhenUsed="0"/>
    <w:lsdException w:name="Intense Quote" w:uiPriority="60" w:semiHidden="0" w:unhideWhenUsed="0"/>
    <w:lsdException w:name="Medium List 2 Accent 1" w:uiPriority="61" w:semiHidden="0" w:unhideWhenUsed="0"/>
    <w:lsdException w:name="Medium Grid 1 Accent 1" w:uiPriority="62" w:semiHidden="0" w:unhideWhenUsed="0"/>
    <w:lsdException w:name="Medium Grid 2 Accent 1" w:uiPriority="63" w:semiHidden="0" w:unhideWhenUsed="0"/>
    <w:lsdException w:name="Medium Grid 3 Accent 1" w:uiPriority="64" w:semiHidden="0" w:unhideWhenUsed="0"/>
    <w:lsdException w:name="Dark List Accent 1" w:uiPriority="65" w:semiHidden="0" w:unhideWhenUsed="0"/>
    <w:lsdException w:name="Colorful Shading Accent 1" w:uiPriority="66" w:semiHidden="0" w:unhideWhenUsed="0"/>
    <w:lsdException w:name="Colorful List Accent 1" w:uiPriority="67" w:semiHidden="0" w:unhideWhenUsed="0"/>
    <w:lsdException w:name="Colorful Grid Accent 1" w:uiPriority="68" w:semiHidden="0" w:unhideWhenUsed="0"/>
    <w:lsdException w:name="Light Shading Accent 2" w:uiPriority="69" w:semiHidden="0" w:unhideWhenUsed="0"/>
    <w:lsdException w:name="Light List Accent 2" w:uiPriority="70" w:semiHidden="0" w:unhideWhenUsed="0"/>
    <w:lsdException w:name="Light Grid Accent 2" w:uiPriority="71" w:semiHidden="0" w:unhideWhenUsed="0"/>
    <w:lsdException w:name="Medium Shading 1 Accent 2" w:uiPriority="72" w:semiHidden="0" w:unhideWhenUsed="0"/>
    <w:lsdException w:name="Medium Shading 2 Accent 2" w:uiPriority="73" w:semiHidden="0" w:unhideWhenUsed="0"/>
    <w:lsdException w:name="Medium List 1 Accent 2" w:uiPriority="60" w:semiHidden="0" w:unhideWhenUsed="0"/>
    <w:lsdException w:name="Medium List 2 Accent 2" w:uiPriority="61" w:semiHidden="0" w:unhideWhenUsed="0"/>
    <w:lsdException w:name="Medium Grid 1 Accent 2" w:uiPriority="62" w:semiHidden="0" w:unhideWhenUsed="0"/>
    <w:lsdException w:name="Medium Grid 2 Accent 2" w:uiPriority="63" w:semiHidden="0" w:unhideWhenUsed="0"/>
    <w:lsdException w:name="Medium Grid 3 Accent 2" w:uiPriority="64" w:semiHidden="0" w:unhideWhenUsed="0"/>
    <w:lsdException w:name="Dark List Accent 2" w:uiPriority="65" w:semiHidden="0" w:unhideWhenUsed="0"/>
    <w:lsdException w:name="Colorful Shading Accent 2" w:uiPriority="66" w:semiHidden="0" w:unhideWhenUsed="0"/>
    <w:lsdException w:name="Colorful List Accent 2" w:uiPriority="67" w:semiHidden="0" w:unhideWhenUsed="0"/>
    <w:lsdException w:name="Colorful Grid Accent 2" w:uiPriority="68" w:semiHidden="0" w:unhideWhenUsed="0"/>
    <w:lsdException w:name="Light Shading Accent 3" w:uiPriority="69" w:semiHidden="0" w:unhideWhenUsed="0"/>
    <w:lsdException w:name="Light List Accent 3" w:uiPriority="70" w:semiHidden="0" w:unhideWhenUsed="0"/>
    <w:lsdException w:name="Light Grid Accent 3" w:uiPriority="71" w:semiHidden="0" w:unhideWhenUsed="0"/>
    <w:lsdException w:name="Medium Shading 1 Accent 3" w:uiPriority="72" w:semiHidden="0" w:unhideWhenUsed="0"/>
    <w:lsdException w:name="Medium Shading 2 Accent 3" w:uiPriority="73" w:semiHidden="0" w:unhideWhenUsed="0"/>
    <w:lsdException w:name="Medium List 1 Accent 3" w:uiPriority="60" w:semiHidden="0" w:unhideWhenUsed="0"/>
    <w:lsdException w:name="Medium List 2 Accent 3" w:uiPriority="61" w:semiHidden="0" w:unhideWhenUsed="0"/>
    <w:lsdException w:name="Medium Grid 1 Accent 3" w:uiPriority="62" w:semiHidden="0" w:unhideWhenUsed="0"/>
    <w:lsdException w:name="Medium Grid 2 Accent 3" w:uiPriority="63" w:semiHidden="0" w:unhideWhenUsed="0"/>
    <w:lsdException w:name="Medium Grid 3 Accent 3" w:uiPriority="64" w:semiHidden="0" w:unhideWhenUsed="0"/>
    <w:lsdException w:name="Dark List Accent 3" w:uiPriority="65" w:semiHidden="0" w:unhideWhenUsed="0"/>
    <w:lsdException w:name="Colorful Shading Accent 3" w:uiPriority="66" w:semiHidden="0" w:unhideWhenUsed="0"/>
    <w:lsdException w:name="Colorful List Accent 3" w:uiPriority="67" w:semiHidden="0" w:unhideWhenUsed="0"/>
    <w:lsdException w:name="Colorful Grid Accent 3" w:uiPriority="68" w:semiHidden="0" w:unhideWhenUsed="0"/>
    <w:lsdException w:name="Light Shading Accent 4" w:uiPriority="69" w:semiHidden="0" w:unhideWhenUsed="0"/>
    <w:lsdException w:name="Light List Accent 4" w:uiPriority="70" w:semiHidden="0" w:unhideWhenUsed="0"/>
    <w:lsdException w:name="Light Grid Accent 4" w:uiPriority="71" w:semiHidden="0" w:unhideWhenUsed="0"/>
    <w:lsdException w:name="Medium Shading 1 Accent 4" w:uiPriority="72" w:semiHidden="0" w:unhideWhenUsed="0"/>
    <w:lsdException w:name="Medium Shading 2 Accent 4" w:uiPriority="73" w:semiHidden="0" w:unhideWhenUsed="0"/>
    <w:lsdException w:name="Medium List 1 Accent 4" w:uiPriority="60" w:semiHidden="0" w:unhideWhenUsed="0"/>
    <w:lsdException w:name="Medium List 2 Accent 4" w:uiPriority="61" w:semiHidden="0" w:unhideWhenUsed="0"/>
    <w:lsdException w:name="Medium Grid 1 Accent 4" w:uiPriority="62" w:semiHidden="0" w:unhideWhenUsed="0"/>
    <w:lsdException w:name="Medium Grid 2 Accent 4" w:uiPriority="63" w:semiHidden="0" w:unhideWhenUsed="0"/>
    <w:lsdException w:name="Medium Grid 3 Accent 4" w:uiPriority="64" w:semiHidden="0" w:unhideWhenUsed="0"/>
    <w:lsdException w:name="Dark List Accent 4" w:uiPriority="65" w:semiHidden="0" w:unhideWhenUsed="0"/>
    <w:lsdException w:name="Colorful Shading Accent 4" w:uiPriority="66" w:semiHidden="0" w:unhideWhenUsed="0"/>
    <w:lsdException w:name="Colorful List Accent 4" w:uiPriority="67" w:semiHidden="0" w:unhideWhenUsed="0"/>
    <w:lsdException w:name="Colorful Grid Accent 4" w:uiPriority="68" w:semiHidden="0" w:unhideWhenUsed="0"/>
    <w:lsdException w:name="Light Shading Accent 5" w:uiPriority="69" w:semiHidden="0" w:unhideWhenUsed="0"/>
    <w:lsdException w:name="Light List Accent 5" w:uiPriority="70" w:semiHidden="0" w:unhideWhenUsed="0"/>
    <w:lsdException w:name="Light Grid Accent 5" w:uiPriority="71" w:semiHidden="0" w:unhideWhenUsed="0"/>
    <w:lsdException w:name="Medium Shading 1 Accent 5" w:uiPriority="72" w:semiHidden="0" w:unhideWhenUsed="0"/>
    <w:lsdException w:name="Medium Shading 2 Accent 5" w:uiPriority="73" w:semiHidden="0" w:unhideWhenUsed="0"/>
    <w:lsdException w:name="Medium List 1 Accent 5" w:uiPriority="60" w:semiHidden="0" w:unhideWhenUsed="0"/>
    <w:lsdException w:name="Medium List 2 Accent 5" w:uiPriority="61" w:semiHidden="0" w:unhideWhenUsed="0"/>
    <w:lsdException w:name="Medium Grid 1 Accent 5" w:uiPriority="62" w:semiHidden="0" w:unhideWhenUsed="0"/>
    <w:lsdException w:name="Medium Grid 2 Accent 5" w:uiPriority="63" w:semiHidden="0" w:unhideWhenUsed="0"/>
    <w:lsdException w:name="Medium Grid 3 Accent 5" w:uiPriority="64" w:semiHidden="0" w:unhideWhenUsed="0"/>
    <w:lsdException w:name="Dark List Accent 5" w:uiPriority="65" w:semiHidden="0" w:unhideWhenUsed="0"/>
    <w:lsdException w:name="Colorful Shading Accent 5" w:uiPriority="66" w:semiHidden="0" w:unhideWhenUsed="0"/>
    <w:lsdException w:name="Colorful List Accent 5" w:uiPriority="67" w:semiHidden="0" w:unhideWhenUsed="0"/>
    <w:lsdException w:name="Colorful Grid Accent 5" w:uiPriority="68" w:semiHidden="0" w:unhideWhenUsed="0"/>
    <w:lsdException w:name="Light Shading Accent 6" w:uiPriority="69" w:semiHidden="0" w:unhideWhenUsed="0"/>
    <w:lsdException w:name="Light List Accent 6" w:uiPriority="70" w:semiHidden="0" w:unhideWhenUsed="0"/>
    <w:lsdException w:name="Light Grid Accent 6" w:uiPriority="71" w:semiHidden="0" w:unhideWhenUsed="0"/>
    <w:lsdException w:name="Medium Shading 1 Accent 6" w:uiPriority="72" w:semiHidden="0" w:unhideWhenUsed="0"/>
    <w:lsdException w:name="Medium Shading 2 Accent 6" w:uiPriority="73" w:semiHidden="0" w:unhideWhenUsed="0"/>
    <w:lsdException w:name="Medium List 1 Accent 6" w:uiPriority="19" w:semiHidden="0" w:unhideWhenUsed="0" w:qFormat="1"/>
    <w:lsdException w:name="Medium List 2 Accent 6" w:uiPriority="21" w:semiHidden="0" w:unhideWhenUsed="0" w:qFormat="1"/>
    <w:lsdException w:name="Medium Grid 1 Accent 6" w:uiPriority="31" w:semiHidden="0" w:unhideWhenUsed="0" w:qFormat="1"/>
    <w:lsdException w:name="Medium Grid 2 Accent 6" w:uiPriority="32" w:semiHidden="0" w:unhideWhenUsed="0" w:qFormat="1"/>
    <w:lsdException w:name="Medium Grid 3 Accent 6" w:uiPriority="33" w:semiHidden="0" w:unhideWhenUsed="0" w:qFormat="1"/>
    <w:lsdException w:name="Dark List Accent 6" w:uiPriority="37" w:semiHidden="0" w:unhideWhenUsed="0"/>
    <w:lsdException w:name="Colorful Shading Accent 6" w:uiPriority="39" w:semiHidden="0" w:unhideWhenUsed="0" w:qFormat="1"/>
    <w:lsdException w:name="Colorful List Accent 6" w:uiPriority="72" w:semiHidden="0" w:unhideWhenUsed="0"/>
    <w:lsdException w:name="Colorful Grid Accent 6" w:uiPriority="73" w:semiHidden="0" w:unhideWhenUsed="0"/>
    <w:lsdException w:name="Subtle Emphasis" w:uiPriority="19" w:semiHidden="0" w:unhideWhenUsed="0"/>
    <w:lsdException w:name="Intense Emphasis" w:uiPriority="21" w:semiHidden="0" w:unhideWhenUsed="0"/>
    <w:lsdException w:name="Subtle Reference" w:uiPriority="31" w:semiHidden="0" w:unhideWhenUsed="0"/>
    <w:lsdException w:name="Intense Reference" w:uiPriority="32" w:semiHidden="0" w:unhideWhenUsed="0"/>
    <w:lsdException w:name="Book Title" w:uiPriority="33" w:semiHidden="0" w:unhideWhenUsed="0"/>
    <w:lsdException w:name="Bibliography" w:uiPriority="37"/>
    <w:lsdException w:name="TOC Heading" w:uiPriority="39" w:qFormat="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Heading1">
    <w:name w:val="Heading 1"/>
    <w:basedOn w:val="Normal"/>
    <w:next w:val="Normal"/>
    <w:link w:val="Ttulo1Char"/>
    <w:uiPriority w:val="9"/>
    <w:qFormat/>
    <w:rsid w:val="007f77ad"/>
    <w:pPr>
      <w:keepNext w:val="true"/>
      <w:keepLines/>
      <w:spacing w:before="480" w:after="0"/>
      <w:outlineLvl w:val="0"/>
    </w:pPr>
    <w:rPr>
      <w:rFonts w:ascii="Calibri" w:hAnsi="Calibri" w:eastAsia="" w:cs="" w:asciiTheme="majorHAnsi" w:cstheme="majorBidi" w:eastAsiaTheme="majorEastAsia" w:hAnsiTheme="majorHAnsi"/>
      <w:b/>
      <w:bCs/>
      <w:color w:themeColor="accent1" w:themeShade="bf" w:val="365F91"/>
      <w:sz w:val="28"/>
      <w:szCs w:val="28"/>
    </w:rPr>
  </w:style>
  <w:style w:type="paragraph" w:styleId="Heading2">
    <w:name w:val="Heading 2"/>
    <w:basedOn w:val="Normal"/>
    <w:next w:val="Normal"/>
    <w:link w:val="Ttulo2Char"/>
    <w:qFormat/>
    <w:rsid w:val="004b460a"/>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themeColor="accent1" w:themeShade="7f" w:val="243F60"/>
      <w:lang w:eastAsia="en-US"/>
    </w:rPr>
  </w:style>
  <w:style w:type="paragraph" w:styleId="Heading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themeColor="accent1" w:themeShade="bf" w:val="365F91"/>
    </w:rPr>
  </w:style>
  <w:style w:type="paragraph" w:styleId="Heading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themeColor="accent1" w:themeShade="7f" w:val="243F60"/>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Hyperlink" w:customStyle="1">
    <w:name w:val="Hyperlink"/>
    <w:basedOn w:val="DefaultParagraphFont"/>
    <w:uiPriority w:val="99"/>
    <w:unhideWhenUsed/>
    <w:rsid w:val="00dc41dd"/>
    <w:rPr>
      <w:color w:themeColor="hyperlink" w:val="0000FF"/>
      <w:u w:val="single"/>
    </w:rPr>
  </w:style>
  <w:style w:type="character" w:styleId="CitaoChar" w:customStyle="1">
    <w:name w:val="Citação Char"/>
    <w:link w:val="Quote"/>
    <w:uiPriority w:val="29"/>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sid w:val="007f77ad"/>
    <w:rPr>
      <w:rFonts w:ascii="Calibri" w:hAnsi="Calibri" w:eastAsia="" w:cs="" w:asciiTheme="majorHAnsi" w:cstheme="majorBidi" w:eastAsiaTheme="majorEastAsia" w:hAnsiTheme="majorHAnsi"/>
      <w:color w:themeColor="text2" w:themeShade="bf" w:val="17365D"/>
      <w:spacing w:val="5"/>
      <w:kern w:val="2"/>
      <w:sz w:val="52"/>
      <w:szCs w:val="52"/>
      <w:lang w:eastAsia="pt-BR"/>
    </w:rPr>
  </w:style>
  <w:style w:type="character" w:styleId="Nivel01Char" w:customStyle="1">
    <w:name w:val="Nivel 01 Char"/>
    <w:basedOn w:val="TtuloChar"/>
    <w:link w:val="Nivel01"/>
    <w:qFormat/>
    <w:rsid w:val="00690d71"/>
    <w:rPr>
      <w:rFonts w:ascii="Arial" w:hAnsi="Arial" w:eastAsia="" w:cs="Arial" w:eastAsiaTheme="majorEastAsia"/>
      <w:b/>
      <w:bCs/>
      <w:color w:themeColor="text2" w:themeShade="bf" w:val="17365D"/>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 w:cs="" w:asciiTheme="majorHAnsi" w:cstheme="majorBidi" w:eastAsiaTheme="majorEastAsia" w:hAnsiTheme="majorHAnsi"/>
      <w:b/>
      <w:bCs/>
      <w:color w:themeColor="accent1" w:themeShade="bf" w:val="365F91"/>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themeColor="text1" w:val="000000"/>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themeColor="accent1" w:themeShade="bf" w:val="000000"/>
      <w:sz w:val="28"/>
      <w:szCs w:val="28"/>
      <w:lang w:eastAsia="pt-BR"/>
    </w:rPr>
  </w:style>
  <w:style w:type="character" w:styleId="Nivel4Char" w:customStyle="1">
    <w:name w:val="Nivel 4 Char"/>
    <w:basedOn w:val="DefaultParagraphFont"/>
    <w:link w:val="Nivel4"/>
    <w:qFormat/>
    <w:rsid w:val="007b1e53"/>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Emphasis">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uiPriority w:val="99"/>
    <w:semiHidden/>
    <w:unhideWhenUsed/>
    <w:rsid w:val="00d30a43"/>
    <w:rPr>
      <w:color w:themeColor="followedHyperlink" w:val="800080"/>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86386a"/>
    <w:rPr>
      <w:rFonts w:ascii="Arial" w:hAnsi="Arial" w:eastAsia="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b4341b"/>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4075a4"/>
    <w:rPr>
      <w:rFonts w:ascii="Arial" w:hAnsi="Arial" w:eastAsia="Arial" w:cs="Arial"/>
      <w:iCs/>
      <w:color w:val="000000"/>
      <w:lang w:eastAsia="pt-BR"/>
    </w:rPr>
  </w:style>
  <w:style w:type="character" w:styleId="Nivel3Char" w:customStyle="1">
    <w:name w:val="Nivel 3 Char"/>
    <w:basedOn w:val="DefaultParagraphFont"/>
    <w:link w:val="Nivel3"/>
    <w:qFormat/>
    <w:rsid w:val="004b7a74"/>
    <w:rPr>
      <w:rFonts w:ascii="Arial" w:hAnsi="Arial" w:cs="Arial"/>
      <w:color w:val="000000"/>
      <w:lang w:eastAsia="pt-BR"/>
    </w:rPr>
  </w:style>
  <w:style w:type="character" w:styleId="Nvel3-RChar" w:customStyle="1">
    <w:name w:val="Nível 3-R Char"/>
    <w:basedOn w:val="Nivel3Char"/>
    <w:link w:val="Nvel3-R"/>
    <w:qFormat/>
    <w:rsid w:val="00e97a2d"/>
    <w:rPr>
      <w:rFonts w:ascii="Arial" w:hAnsi="Arial" w:cs="Arial"/>
      <w:iCs/>
      <w:color w:val="000000"/>
      <w:lang w:eastAsia="pt-BR"/>
    </w:rPr>
  </w:style>
  <w:style w:type="character" w:styleId="Nvel4-RChar" w:customStyle="1">
    <w:name w:val="Nível 4-R Char"/>
    <w:basedOn w:val="Nivel4Char"/>
    <w:link w:val="Nvel4-R"/>
    <w:qFormat/>
    <w:rsid w:val="00377565"/>
    <w:rPr>
      <w:rFonts w:ascii="Arial" w:hAnsi="Arial" w:cs="Arial"/>
      <w:i/>
      <w:iCs/>
      <w:color w:val="FF0000"/>
      <w:lang w:eastAsia="pt-BR"/>
    </w:rPr>
  </w:style>
  <w:style w:type="character" w:styleId="Nvel1-SemNumChar" w:customStyle="1">
    <w:name w:val="Nível 1-Sem Num Char"/>
    <w:basedOn w:val="Nivel01Char"/>
    <w:link w:val="Nvel1-SemNum"/>
    <w:qFormat/>
    <w:rsid w:val="00690d71"/>
    <w:rPr>
      <w:rFonts w:ascii="Arial" w:hAnsi="Arial" w:eastAsia="" w:cs="Arial" w:eastAsiaTheme="majorEastAsia"/>
      <w:b/>
      <w:bCs/>
      <w:color w:themeColor="text2" w:themeShade="bf"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tionnonrsolue1" w:customStyle="1">
    <w:name w:val="Mention non résolue1"/>
    <w:basedOn w:val="DefaultParagraphFont"/>
    <w:uiPriority w:val="99"/>
    <w:semiHidden/>
    <w:unhideWhenUsed/>
    <w:qFormat/>
    <w:rsid w:val="008d252d"/>
    <w:rPr>
      <w:color w:val="605E5C"/>
      <w:shd w:fill="E1DFDD" w:val="clear"/>
    </w:rPr>
  </w:style>
  <w:style w:type="character" w:styleId="Citao2Char" w:customStyle="1">
    <w:name w:val="citação 2 Char"/>
    <w:basedOn w:val="CitaoChar"/>
    <w:link w:val="Citao2"/>
    <w:qFormat/>
    <w:rsid w:val="00573b28"/>
    <w:rPr>
      <w:rFonts w:ascii="Arial" w:hAnsi="Arial" w:eastAsia="Calibri" w:cs="Tahoma"/>
      <w:i/>
      <w:iCs/>
      <w:color w:val="000000"/>
      <w:szCs w:val="24"/>
      <w:shd w:fill="FFFFCC" w:val="clear"/>
    </w:rPr>
  </w:style>
  <w:style w:type="character" w:styleId="Nvel01-SemNumeraoChar" w:customStyle="1">
    <w:name w:val="Nível 01-Sem Numeração Char"/>
    <w:basedOn w:val="DefaultParagraphFont"/>
    <w:link w:val="Nvel01-SemNumerao"/>
    <w:uiPriority w:val="1"/>
    <w:qFormat/>
    <w:rsid w:val="00690d71"/>
    <w:rPr>
      <w:rFonts w:ascii="Arial" w:hAnsi="Arial" w:eastAsia="" w:cs="Arial" w:eastAsiaTheme="majorEastAsia"/>
      <w:b/>
      <w:bCs/>
      <w:lang w:eastAsia="pt-BR"/>
    </w:rPr>
  </w:style>
  <w:style w:type="character" w:styleId="UnresolvedMention" w:customStyle="1">
    <w:name w:val="Unresolved Mention"/>
    <w:basedOn w:val="DefaultParagraphFont"/>
    <w:uiPriority w:val="99"/>
    <w:semiHidden/>
    <w:unhideWhenUsed/>
    <w:qFormat/>
    <w:rsid w:val="00d47598"/>
    <w:rPr>
      <w:color w:val="605E5C"/>
      <w:shd w:fill="E1DFDD" w:val="clear"/>
    </w:rPr>
  </w:style>
  <w:style w:type="character" w:styleId="Ng-star-inserted" w:customStyle="1">
    <w:name w:val="ng-star-inserted"/>
    <w:basedOn w:val="DefaultParagraphFont"/>
    <w:qFormat/>
    <w:rsid w:val="0057172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link w:val="PargrafodaListaChar"/>
    <w:uiPriority w:val="34"/>
    <w:qFormat/>
    <w:rsid w:val="004773fc"/>
    <w:pPr>
      <w:spacing w:before="0" w:after="0"/>
      <w:ind w:left="72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Header">
    <w:name w:val="Header"/>
    <w:basedOn w:val="Normal"/>
    <w:link w:val="CabealhoChar"/>
    <w:uiPriority w:val="99"/>
    <w:rsid w:val="00ca24fb"/>
    <w:pPr>
      <w:tabs>
        <w:tab w:val="clear" w:pos="708"/>
        <w:tab w:val="center" w:pos="4252" w:leader="none"/>
        <w:tab w:val="right" w:pos="8504" w:leader="none"/>
      </w:tabs>
    </w:pPr>
    <w:rPr/>
  </w:style>
  <w:style w:type="paragraph" w:styleId="Footer">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Heading1"/>
    <w:next w:val="Normal"/>
    <w:link w:val="Nivel01Char"/>
    <w:autoRedefine/>
    <w:qFormat/>
    <w:rsid w:val="00690d71"/>
    <w:pPr>
      <w:numPr>
        <w:ilvl w:val="0"/>
        <w:numId w:val="1"/>
      </w:numPr>
      <w:tabs>
        <w:tab w:val="clear" w:pos="708"/>
        <w:tab w:val="left" w:pos="567" w:leader="none"/>
      </w:tabs>
      <w:spacing w:lineRule="auto" w:line="276" w:before="240" w:after="120"/>
      <w:ind w:hanging="0" w:left="0"/>
      <w:jc w:val="both"/>
    </w:pPr>
    <w:rPr>
      <w:rFonts w:ascii="Arial" w:hAnsi="Arial" w:cs="Arial"/>
      <w:color w:themeColor="accent1" w:themeShade="bf" w:val="auto"/>
      <w:sz w:val="20"/>
      <w:szCs w:val="20"/>
    </w:rPr>
  </w:style>
  <w:style w:type="paragraph" w:styleId="Nivel01Titulo" w:customStyle="1">
    <w:name w:val="Nivel_01_Titulo"/>
    <w:basedOn w:val="Nivel01"/>
    <w:link w:val="Nivel01TituloChar"/>
    <w:qFormat/>
    <w:rsid w:val="00e967ea"/>
    <w:pPr>
      <w:jc w:val="left"/>
    </w:pPr>
    <w:rPr>
      <w:rFonts w:cs="" w:cstheme="majorBidi"/>
      <w:color w:themeColor="text1" w:val="000000"/>
      <w:spacing w:val="5"/>
      <w:kern w:val="2"/>
      <w:sz w:val="52"/>
      <w:szCs w:val="52"/>
    </w:rPr>
  </w:style>
  <w:style w:type="paragraph" w:styleId="Title">
    <w:name w:val="Title"/>
    <w:basedOn w:val="Normal"/>
    <w:next w:val="Normal"/>
    <w:link w:val="TtuloChar"/>
    <w:qFormat/>
    <w:rsid w:val="007f77ad"/>
    <w:pPr>
      <w:pBdr>
        <w:bottom w:val="single" w:sz="8" w:space="4" w:color="4F81BD" w:themeColor="accent1"/>
      </w:pBdr>
      <w:spacing w:before="0" w:after="300"/>
      <w:contextualSpacing/>
    </w:pPr>
    <w:rPr>
      <w:rFonts w:ascii="Calibri" w:hAnsi="Calibri" w:eastAsia="" w:cs="" w:asciiTheme="majorHAnsi" w:cstheme="majorBidi" w:eastAsiaTheme="majorEastAsia" w:hAnsiTheme="majorHAnsi"/>
      <w:color w:themeColor="text2" w:themeShade="bf" w:val="17365D"/>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Heading1"/>
    <w:link w:val="Nivel1Char"/>
    <w:qFormat/>
    <w:rsid w:val="00d30a43"/>
    <w:pPr>
      <w:spacing w:lineRule="auto" w:line="276"/>
      <w:ind w:hanging="357" w:left="357"/>
      <w:jc w:val="both"/>
    </w:pPr>
    <w:rPr>
      <w:rFonts w:ascii="Arial" w:hAnsi="Arial" w:cs="Arial"/>
      <w:bCs w:val="false"/>
      <w:color w:themeColor="accent1" w:themeShade="bf" w:val="000000"/>
    </w:rPr>
  </w:style>
  <w:style w:type="paragraph" w:styleId="PargrafodaLista1" w:customStyle="1">
    <w:name w:val="Parágrafo da Lista1"/>
    <w:basedOn w:val="Normal"/>
    <w:qFormat/>
    <w:rsid w:val="00d30a43"/>
    <w:pPr>
      <w:ind w:left="720"/>
    </w:pPr>
    <w:rPr>
      <w:rFonts w:eastAsia="Times New Roman" w:cs="Ecofont_Spranq_eco_Sans"/>
    </w:rPr>
  </w:style>
  <w:style w:type="paragraph" w:styleId="Nivel2" w:customStyle="1">
    <w:name w:val="Nivel 2"/>
    <w:basedOn w:val="Normal"/>
    <w:link w:val="Nivel2Char"/>
    <w:autoRedefine/>
    <w:qFormat/>
    <w:rsid w:val="0086386a"/>
    <w:pPr>
      <w:numPr>
        <w:ilvl w:val="1"/>
        <w:numId w:val="1"/>
      </w:numPr>
      <w:spacing w:lineRule="auto" w:line="276" w:before="120" w:after="120"/>
      <w:ind w:hanging="0" w:left="0"/>
      <w:jc w:val="both"/>
    </w:pPr>
    <w:rPr>
      <w:rFonts w:ascii="Arial" w:hAnsi="Arial" w:eastAsia="Arial" w:cs="Arial"/>
      <w:color w:val="000000"/>
      <w:sz w:val="20"/>
      <w:szCs w:val="20"/>
    </w:rPr>
  </w:style>
  <w:style w:type="paragraph" w:styleId="Nivel11" w:customStyle="1">
    <w:name w:val="Nivel 1"/>
    <w:basedOn w:val="Nivel2"/>
    <w:next w:val="Nivel2"/>
    <w:qFormat/>
    <w:rsid w:val="003629e4"/>
    <w:pPr>
      <w:numPr>
        <w:ilvl w:val="0"/>
        <w:numId w:val="0"/>
      </w:numPr>
      <w:ind w:hanging="360" w:left="360"/>
    </w:pPr>
    <w:rPr>
      <w:b/>
    </w:rPr>
  </w:style>
  <w:style w:type="paragraph" w:styleId="Nivel3" w:customStyle="1">
    <w:name w:val="Nivel 3"/>
    <w:basedOn w:val="Normal"/>
    <w:link w:val="Nivel3Char"/>
    <w:autoRedefine/>
    <w:qFormat/>
    <w:rsid w:val="004b7a74"/>
    <w:pPr>
      <w:numPr>
        <w:ilvl w:val="2"/>
        <w:numId w:val="1"/>
      </w:numPr>
      <w:spacing w:lineRule="auto" w:line="276" w:before="120" w:after="120"/>
      <w:ind w:hanging="0" w:left="284"/>
      <w:jc w:val="both"/>
    </w:pPr>
    <w:rPr>
      <w:rFonts w:ascii="Arial" w:hAnsi="Arial" w:cs="Arial"/>
      <w:color w:val="000000"/>
      <w:sz w:val="20"/>
      <w:szCs w:val="20"/>
    </w:rPr>
  </w:style>
  <w:style w:type="paragraph" w:styleId="Nivel4" w:customStyle="1">
    <w:name w:val="Nivel 4"/>
    <w:basedOn w:val="Nivel3"/>
    <w:link w:val="Nivel4Char"/>
    <w:qFormat/>
    <w:rsid w:val="007b1e53"/>
    <w:pPr/>
    <w:rPr>
      <w:color w:val="auto"/>
    </w:rPr>
  </w:style>
  <w:style w:type="paragraph" w:styleId="Nivel5" w:customStyle="1">
    <w:name w:val="Nivel 5"/>
    <w:basedOn w:val="Nivel4"/>
    <w:autoRedefine/>
    <w:qFormat/>
    <w:rsid w:val="00377565"/>
    <w:pPr>
      <w:ind w:hanging="0" w:left="851"/>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hanging="432" w:left="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hanging="504" w:left="1072"/>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autoRedefine/>
    <w:qFormat/>
    <w:rsid w:val="00b4341b"/>
    <w:pPr>
      <w:spacing w:lineRule="auto" w:line="276" w:before="120" w:after="120"/>
      <w:ind w:left="0"/>
      <w:contextualSpacing w:val="false"/>
      <w:jc w:val="center"/>
    </w:pPr>
    <w:rPr>
      <w:rFonts w:ascii="Arial" w:hAnsi="Arial" w:eastAsia="Cambria" w:cs="Arial" w:eastAsiaTheme="minorHAnsi"/>
      <w:b/>
      <w:bCs/>
      <w:i/>
      <w:iCs/>
      <w:color w:val="FF0000"/>
      <w:sz w:val="20"/>
      <w:szCs w:val="2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autoRedefine/>
    <w:qFormat/>
    <w:rsid w:val="004075a4"/>
    <w:pPr/>
    <w:rPr>
      <w:iCs/>
      <w:color w:val="auto"/>
    </w:rPr>
  </w:style>
  <w:style w:type="paragraph" w:styleId="Nvel3-R" w:customStyle="1">
    <w:name w:val="Nível 3-R"/>
    <w:basedOn w:val="Nivel3"/>
    <w:link w:val="Nvel3-RChar"/>
    <w:autoRedefine/>
    <w:qFormat/>
    <w:rsid w:val="00e97a2d"/>
    <w:pPr/>
    <w:rPr>
      <w:iCs/>
      <w:color w:val="auto"/>
    </w:rPr>
  </w:style>
  <w:style w:type="paragraph" w:styleId="Nvel4-R" w:customStyle="1">
    <w:name w:val="Nível 4-R"/>
    <w:basedOn w:val="Nivel4"/>
    <w:link w:val="Nvel4-RChar"/>
    <w:qFormat/>
    <w:rsid w:val="00377565"/>
    <w:pPr>
      <w:ind w:hanging="0" w:left="567"/>
    </w:pPr>
    <w:rPr>
      <w:i/>
      <w:iCs/>
      <w:color w:val="FF0000"/>
    </w:rPr>
  </w:style>
  <w:style w:type="paragraph" w:styleId="Nvel1-SemNum" w:customStyle="1">
    <w:name w:val="Nível 1-Sem Num"/>
    <w:basedOn w:val="Nivel01"/>
    <w:link w:val="Nvel1-SemNumChar"/>
    <w:autoRedefine/>
    <w:qFormat/>
    <w:rsid w:val="00690d71"/>
    <w:pPr>
      <w:numPr>
        <w:ilvl w:val="0"/>
        <w:numId w:val="0"/>
      </w:numPr>
      <w:ind w:hanging="0" w:left="0"/>
      <w:outlineLvl w:val="1"/>
    </w:pPr>
    <w:rPr>
      <w:color w:themeColor="accent1" w:themeShade="bf" w:val="FF0000"/>
    </w:rPr>
  </w:style>
  <w:style w:type="paragraph" w:styleId="Citao2" w:customStyle="1">
    <w:name w:val="citação 2"/>
    <w:basedOn w:val="Quote"/>
    <w:link w:val="Citao2Char"/>
    <w:qFormat/>
    <w:rsid w:val="00dc41dd"/>
    <w:pPr>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jc w:val="both"/>
    </w:pPr>
    <w:rPr>
      <w:rFonts w:ascii="Arial" w:hAnsi="Arial" w:eastAsia="Arial" w:cs="Arial"/>
      <w:bCs/>
      <w:sz w:val="20"/>
      <w:szCs w:val="20"/>
    </w:rPr>
  </w:style>
  <w:style w:type="paragraph" w:styleId="Nvel01-SemNumerao" w:customStyle="1">
    <w:name w:val="Nível 01-Sem Numeração"/>
    <w:basedOn w:val="Normal"/>
    <w:link w:val="Nvel01-SemNumeraoChar"/>
    <w:autoRedefine/>
    <w:uiPriority w:val="1"/>
    <w:qFormat/>
    <w:rsid w:val="00690d71"/>
    <w:pPr>
      <w:keepNext w:val="true"/>
      <w:keepLines/>
      <w:spacing w:lineRule="auto" w:line="276" w:before="240" w:after="120"/>
      <w:jc w:val="both"/>
      <w:outlineLvl w:val="1"/>
    </w:pPr>
    <w:rPr>
      <w:rFonts w:ascii="Arial" w:hAnsi="Arial" w:eastAsia="" w:cs="Arial" w:eastAsiaTheme="majorEastAsia"/>
      <w:b/>
      <w:bCs/>
      <w:sz w:val="20"/>
      <w:szCs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www.planalto.gov.br/ccivil_03/leis/l8078compilado.htm" TargetMode="External"/><Relationship Id="rId4" Type="http://schemas.openxmlformats.org/officeDocument/2006/relationships/hyperlink" Target="https://www.gov.br/compras/pt-br/acesso-a-informacao/legislacao/instrucoes-normativas/instrucao-normativa-seges-me-no-77-de-4-de-novembro-de-2022" TargetMode="External"/><Relationship Id="rId5" Type="http://schemas.openxmlformats.org/officeDocument/2006/relationships/hyperlink" Target="http://www.planalto.gov.br/ccivil_03/AGU/Pareceres/2019-2022/PRC-JL-01-2020.htm" TargetMode="External"/><Relationship Id="rId6" Type="http://schemas.openxmlformats.org/officeDocument/2006/relationships/hyperlink" Target="https://www.gov.br/empresas-e-negocios/pt-br/empreendedor" TargetMode="External"/><Relationship Id="rId7" Type="http://schemas.openxmlformats.org/officeDocument/2006/relationships/hyperlink" Target="https://www.planalto.gov.br/ccivil_03/decreto-lei/del5452.htm" TargetMode="Externa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FC4E9-5284-45A1-B53D-D832E97A4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Application>LibreOffice/7.6.1.2$Windows_X86_64 LibreOffice_project/f5defcebd022c5bc36bbb79be232cb6926d8f674</Application>
  <AppVersion>15.0000</AppVersion>
  <Pages>13</Pages>
  <Words>5202</Words>
  <Characters>29761</Characters>
  <CharactersWithSpaces>34591</CharactersWithSpaces>
  <Paragraphs>245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2023-11-27T12:32:00Z</dcterms:created>
  <dc:creator/>
  <dc:description/>
  <dc:language>pt-BR</dc:language>
  <cp:lastModifiedBy/>
  <cp:lastPrinted>2024-01-04T09:16:32Z</cp:lastPrinted>
  <dcterms:modified xsi:type="dcterms:W3CDTF">2024-01-04T09:40:08Z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